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lang w:val="en-US" w:eastAsia="zh-CN"/>
        </w:rPr>
        <w:t>21</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lang w:val="en-US" w:eastAsia="zh-CN"/>
        </w:rPr>
        <w:t xml:space="preserve">     </w:t>
      </w:r>
      <w:r>
        <w:rPr>
          <w:rFonts w:ascii="Arial" w:hAnsi="Arial" w:eastAsia="MS Mincho" w:cs="Arial"/>
          <w:b/>
          <w:kern w:val="0"/>
          <w:sz w:val="24"/>
          <w:szCs w:val="24"/>
          <w:lang w:val="en-GB" w:eastAsia="en-GB"/>
        </w:rPr>
        <w:t xml:space="preserve">      </w:t>
      </w:r>
      <w:r>
        <w:rPr>
          <w:rFonts w:ascii="Arial" w:hAnsi="Arial" w:eastAsia="MS Mincho" w:cs="Arial"/>
          <w:b/>
          <w:kern w:val="0"/>
          <w:sz w:val="22"/>
          <w:lang w:val="en-GB" w:eastAsia="en-GB"/>
        </w:rPr>
        <w:t>R2-2</w:t>
      </w:r>
      <w:r>
        <w:rPr>
          <w:rFonts w:hint="eastAsia" w:ascii="Arial" w:hAnsi="Arial" w:eastAsia="宋体" w:cs="Arial"/>
          <w:b/>
          <w:kern w:val="0"/>
          <w:sz w:val="22"/>
          <w:lang w:val="en-US" w:eastAsia="zh-CN"/>
        </w:rPr>
        <w:t>301251</w:t>
      </w:r>
    </w:p>
    <w:p>
      <w:pPr>
        <w:overflowPunct w:val="0"/>
        <w:autoSpaceDE w:val="0"/>
        <w:autoSpaceDN w:val="0"/>
        <w:adjustRightInd w:val="0"/>
        <w:jc w:val="left"/>
        <w:textAlignment w:val="baseline"/>
        <w:rPr>
          <w:rFonts w:hint="eastAsia" w:ascii="Arial" w:hAnsi="Arial" w:eastAsia="宋体" w:cs="Arial"/>
          <w:b/>
          <w:bCs/>
          <w:kern w:val="0"/>
          <w:sz w:val="24"/>
          <w:szCs w:val="24"/>
          <w:lang w:val="en-GB" w:eastAsia="zh-CN"/>
        </w:rPr>
      </w:pPr>
      <w:r>
        <w:rPr>
          <w:rFonts w:hint="eastAsia" w:ascii="Arial" w:hAnsi="Arial" w:eastAsia="宋体" w:cs="Arial"/>
          <w:b/>
          <w:bCs/>
          <w:kern w:val="0"/>
          <w:sz w:val="24"/>
          <w:szCs w:val="24"/>
          <w:lang w:val="en-US" w:eastAsia="zh-CN"/>
        </w:rPr>
        <w:t>Athens,</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27 February</w:t>
      </w:r>
      <w:r>
        <w:rPr>
          <w:rFonts w:ascii="Arial" w:hAnsi="Arial" w:eastAsia="宋体" w:cs="Arial"/>
          <w:b/>
          <w:bCs/>
          <w:kern w:val="0"/>
          <w:sz w:val="24"/>
          <w:szCs w:val="24"/>
          <w:lang w:val="en-GB"/>
        </w:rPr>
        <w:t xml:space="preserve"> – </w:t>
      </w:r>
      <w:r>
        <w:rPr>
          <w:rFonts w:hint="eastAsia" w:ascii="Arial" w:hAnsi="Arial" w:eastAsia="宋体" w:cs="Arial"/>
          <w:b/>
          <w:bCs/>
          <w:kern w:val="0"/>
          <w:sz w:val="24"/>
          <w:szCs w:val="24"/>
          <w:lang w:val="en-US" w:eastAsia="zh-CN"/>
        </w:rPr>
        <w:t>3</w:t>
      </w:r>
      <w:r>
        <w:rPr>
          <w:rFonts w:ascii="Arial" w:hAnsi="Arial" w:eastAsia="宋体" w:cs="Arial"/>
          <w:b/>
          <w:bCs/>
          <w:kern w:val="0"/>
          <w:sz w:val="24"/>
          <w:szCs w:val="24"/>
          <w:lang w:val="en-GB"/>
        </w:rPr>
        <w:t xml:space="preserve"> </w:t>
      </w:r>
      <w:r>
        <w:rPr>
          <w:rFonts w:hint="eastAsia" w:ascii="Arial" w:hAnsi="Arial" w:eastAsia="宋体" w:cs="Arial"/>
          <w:b/>
          <w:bCs/>
          <w:kern w:val="0"/>
          <w:sz w:val="24"/>
          <w:szCs w:val="24"/>
          <w:lang w:val="en-US" w:eastAsia="zh-CN"/>
        </w:rPr>
        <w:t>March</w:t>
      </w:r>
      <w:r>
        <w:rPr>
          <w:rFonts w:ascii="Arial" w:hAnsi="Arial" w:eastAsia="宋体" w:cs="Arial"/>
          <w:b/>
          <w:bCs/>
          <w:kern w:val="0"/>
          <w:sz w:val="24"/>
          <w:szCs w:val="24"/>
          <w:lang w:val="en-GB"/>
        </w:rPr>
        <w:t>, 202</w:t>
      </w:r>
      <w:r>
        <w:rPr>
          <w:rFonts w:hint="eastAsia" w:ascii="Arial" w:hAnsi="Arial" w:eastAsia="宋体" w:cs="Arial"/>
          <w:b/>
          <w:bCs/>
          <w:kern w:val="0"/>
          <w:sz w:val="24"/>
          <w:szCs w:val="24"/>
          <w:lang w:val="en-US" w:eastAsia="zh-CN"/>
        </w:rPr>
        <w:t>3</w:t>
      </w:r>
    </w:p>
    <w:p>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ascii="Arial" w:hAnsi="Arial" w:eastAsia="宋体" w:cs="Arial"/>
          <w:b/>
          <w:bCs/>
          <w:kern w:val="0"/>
          <w:sz w:val="24"/>
          <w:szCs w:val="20"/>
          <w:lang w:val="en-GB"/>
        </w:rPr>
        <w:t>8.</w:t>
      </w:r>
      <w:r>
        <w:rPr>
          <w:rFonts w:hint="eastAsia" w:ascii="Arial" w:hAnsi="Arial" w:eastAsia="宋体" w:cs="Arial"/>
          <w:b/>
          <w:bCs/>
          <w:kern w:val="0"/>
          <w:sz w:val="24"/>
          <w:szCs w:val="20"/>
        </w:rPr>
        <w:t>6</w:t>
      </w:r>
      <w:r>
        <w:rPr>
          <w:rFonts w:ascii="Arial" w:hAnsi="Arial" w:eastAsia="宋体" w:cs="Arial"/>
          <w:b/>
          <w:bCs/>
          <w:kern w:val="0"/>
          <w:sz w:val="24"/>
          <w:szCs w:val="20"/>
          <w:lang w:val="en-GB"/>
        </w:rPr>
        <w:t>.</w:t>
      </w:r>
      <w:r>
        <w:rPr>
          <w:rFonts w:hint="eastAsia" w:ascii="Arial" w:hAnsi="Arial" w:eastAsia="宋体" w:cs="Arial"/>
          <w:b/>
          <w:bCs/>
          <w:kern w:val="0"/>
          <w:sz w:val="24"/>
          <w:szCs w:val="20"/>
        </w:rPr>
        <w:t>2</w:t>
      </w:r>
      <w:r>
        <w:rPr>
          <w:rFonts w:hint="eastAsia" w:ascii="Arial" w:hAnsi="Arial" w:eastAsia="宋体" w:cs="Arial"/>
          <w:b/>
          <w:bCs/>
          <w:kern w:val="0"/>
          <w:sz w:val="24"/>
          <w:szCs w:val="20"/>
          <w:lang w:val="en-US" w:eastAsia="zh-CN"/>
        </w:rPr>
        <w:t>.1</w:t>
      </w:r>
    </w:p>
    <w:p>
      <w:pPr>
        <w:widowControl/>
        <w:tabs>
          <w:tab w:val="left" w:pos="1985"/>
        </w:tabs>
        <w:spacing w:after="180"/>
        <w:ind w:left="1985" w:hanging="1985"/>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pPr>
        <w:widowControl/>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 xml:space="preserve">Discussion on the </w:t>
      </w:r>
      <w:r>
        <w:rPr>
          <w:rFonts w:hint="eastAsia" w:ascii="Arial" w:hAnsi="Arial" w:eastAsia="宋体" w:cs="Arial"/>
          <w:b/>
          <w:bCs/>
          <w:kern w:val="0"/>
          <w:sz w:val="24"/>
          <w:szCs w:val="20"/>
        </w:rPr>
        <w:t>HARQ enhancement for IoT-NTN</w:t>
      </w:r>
    </w:p>
    <w:p>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IoT_NTN_enh</w:t>
      </w:r>
    </w:p>
    <w:p>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 and Decision</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1</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Introduction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In RAN</w:t>
      </w:r>
      <w:r>
        <w:rPr>
          <w:rFonts w:hint="eastAsia" w:ascii="Arial" w:hAnsi="Arial" w:eastAsia="宋体" w:cs="Arial"/>
          <w:kern w:val="0"/>
          <w:sz w:val="20"/>
          <w:szCs w:val="20"/>
        </w:rPr>
        <w:t>2</w:t>
      </w:r>
      <w:r>
        <w:rPr>
          <w:rFonts w:ascii="Arial" w:hAnsi="Arial" w:eastAsia="宋体" w:cs="Arial"/>
          <w:kern w:val="0"/>
          <w:sz w:val="20"/>
          <w:szCs w:val="20"/>
          <w:lang w:val="en-GB" w:eastAsia="en-US"/>
        </w:rPr>
        <w:t>#</w:t>
      </w:r>
      <w:r>
        <w:rPr>
          <w:rFonts w:hint="eastAsia" w:ascii="Arial" w:hAnsi="Arial" w:eastAsia="宋体" w:cs="Arial"/>
          <w:kern w:val="0"/>
          <w:sz w:val="20"/>
          <w:szCs w:val="20"/>
        </w:rPr>
        <w:t>1</w:t>
      </w:r>
      <w:r>
        <w:rPr>
          <w:rFonts w:hint="eastAsia" w:ascii="Arial" w:hAnsi="Arial" w:eastAsia="宋体" w:cs="Arial"/>
          <w:kern w:val="0"/>
          <w:sz w:val="20"/>
          <w:szCs w:val="20"/>
          <w:lang w:val="en-US" w:eastAsia="zh-CN"/>
        </w:rPr>
        <w:t>20</w:t>
      </w:r>
      <w:r>
        <w:rPr>
          <w:rFonts w:hint="eastAsia" w:ascii="Arial" w:hAnsi="Arial" w:eastAsia="宋体" w:cs="Arial"/>
          <w:kern w:val="0"/>
          <w:sz w:val="20"/>
          <w:szCs w:val="20"/>
          <w:lang w:val="en-GB"/>
        </w:rPr>
        <w:t xml:space="preserve"> </w:t>
      </w:r>
      <w:r>
        <w:rPr>
          <w:rFonts w:hint="eastAsia" w:ascii="Arial" w:hAnsi="Arial" w:eastAsia="宋体" w:cs="Arial"/>
          <w:kern w:val="0"/>
          <w:sz w:val="20"/>
          <w:szCs w:val="20"/>
        </w:rPr>
        <w:t>[1]</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the following agreements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on</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US" w:eastAsia="zh-CN"/>
        </w:rPr>
        <w:t>HARQ</w:t>
      </w:r>
      <w:r>
        <w:rPr>
          <w:rFonts w:hint="eastAsia" w:ascii="Arial" w:hAnsi="Arial" w:eastAsia="宋体" w:cs="Arial"/>
          <w:kern w:val="0"/>
          <w:sz w:val="20"/>
          <w:szCs w:val="20"/>
        </w:rPr>
        <w:t xml:space="preserve"> enhancements</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rPr>
        <w:t>are achieved</w:t>
      </w:r>
      <w:r>
        <w:rPr>
          <w:rFonts w:ascii="Arial" w:hAnsi="Arial" w:eastAsia="宋体" w:cs="Arial"/>
          <w:kern w:val="0"/>
          <w:sz w:val="20"/>
          <w:szCs w:val="20"/>
          <w:lang w:val="en-GB" w:eastAsia="en-US"/>
        </w:rPr>
        <w:t xml:space="preserve">: </w:t>
      </w:r>
    </w:p>
    <w:p>
      <w:pPr>
        <w:pStyle w:val="18"/>
        <w:pBdr>
          <w:top w:val="single" w:color="auto" w:sz="4" w:space="1"/>
          <w:left w:val="single" w:color="auto" w:sz="4" w:space="4"/>
          <w:bottom w:val="single" w:color="auto" w:sz="4" w:space="1"/>
          <w:right w:val="single" w:color="auto" w:sz="4" w:space="4"/>
        </w:pBdr>
        <w:rPr>
          <w:rFonts w:hint="default" w:ascii="Arial" w:hAnsi="Arial" w:cs="Arial"/>
          <w:sz w:val="20"/>
          <w:szCs w:val="20"/>
        </w:rPr>
      </w:pPr>
      <w:r>
        <w:rPr>
          <w:rFonts w:hint="default" w:ascii="Arial" w:hAnsi="Arial" w:cs="Arial"/>
          <w:sz w:val="20"/>
          <w:szCs w:val="20"/>
        </w:rPr>
        <w:t>Agreements:</w:t>
      </w:r>
    </w:p>
    <w:p>
      <w:pPr>
        <w:pStyle w:val="18"/>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For NB-IoT NTN with single HARQ process when the HARQ feedback is disabled, the UE will start/restart drx-inactivity timer in the subframe containing the last repetition of the corresponding PDSCH reception plus 12 subframes.</w:t>
      </w:r>
    </w:p>
    <w:p>
      <w:pPr>
        <w:pStyle w:val="18"/>
        <w:keepNext w:val="0"/>
        <w:keepLines w:val="0"/>
        <w:pageBreakBefore w:val="0"/>
        <w:widowControl/>
        <w:numPr>
          <w:ilvl w:val="0"/>
          <w:numId w:val="1"/>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RAN2 understands that something needs to be added to consider the processing time also for inactivity timer of HARQ mode B. Continue the discussion on the details in the next meeting</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Agreements:</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1.</w:t>
      </w:r>
      <w:r>
        <w:rPr>
          <w:rFonts w:hint="default" w:ascii="Arial" w:hAnsi="Arial" w:cs="Arial"/>
          <w:sz w:val="20"/>
          <w:szCs w:val="20"/>
        </w:rPr>
        <w:tab/>
      </w:r>
      <w:r>
        <w:rPr>
          <w:rFonts w:hint="default" w:ascii="Arial" w:hAnsi="Arial" w:cs="Arial"/>
          <w:sz w:val="20"/>
          <w:szCs w:val="20"/>
        </w:rPr>
        <w:t xml:space="preserve">For eMTC, the following LCH to HARQ process mapping rules are supported: </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1) LCH is mapped only to a HARQ process configured with HARQ mode A;</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2) LCH is mapped only to a HARQ process configured with HARQ mode B;</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3) If an LCH is not configured with a mapping rule, it may be mapped to any HARQ process (HARQ mode A or B).</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b/>
      </w:r>
      <w:r>
        <w:rPr>
          <w:rFonts w:hint="default" w:ascii="Arial" w:hAnsi="Arial" w:cs="Arial"/>
          <w:sz w:val="20"/>
          <w:szCs w:val="20"/>
        </w:rPr>
        <w:t>4) If UL HARQ mode is not configured, LCH mapping rules are not supported (legacy behaviour)</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2.</w:t>
      </w:r>
      <w:r>
        <w:rPr>
          <w:rFonts w:hint="default" w:ascii="Arial" w:hAnsi="Arial" w:cs="Arial"/>
          <w:sz w:val="20"/>
          <w:szCs w:val="20"/>
        </w:rPr>
        <w:tab/>
      </w:r>
      <w:r>
        <w:rPr>
          <w:rFonts w:hint="default" w:ascii="Arial" w:hAnsi="Arial" w:cs="Arial"/>
          <w:sz w:val="20"/>
          <w:szCs w:val="20"/>
        </w:rPr>
        <w:t>For eMTC, introduce allowedHARQ-mode for each logical channel, e.g. included in LogicalChannelConfig IE.</w:t>
      </w:r>
    </w:p>
    <w:p>
      <w:pPr>
        <w:pStyle w:val="18"/>
        <w:keepNext w:val="0"/>
        <w:keepLines w:val="0"/>
        <w:pageBreakBefore w:val="0"/>
        <w:widowControl/>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Agreements:</w:t>
      </w:r>
    </w:p>
    <w:p>
      <w:pPr>
        <w:pStyle w:val="18"/>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An optional UE capability is introduced to indicate whether the UE supports disabling HARQ feedback for downlink transmission.</w:t>
      </w:r>
    </w:p>
    <w:p>
      <w:pPr>
        <w:pStyle w:val="18"/>
        <w:keepNext w:val="0"/>
        <w:keepLines w:val="0"/>
        <w:pageBreakBefore w:val="0"/>
        <w:widowControl/>
        <w:numPr>
          <w:ilvl w:val="0"/>
          <w:numId w:val="2"/>
        </w:numPr>
        <w:pBdr>
          <w:top w:val="single" w:color="auto" w:sz="4" w:space="1"/>
          <w:left w:val="single" w:color="auto" w:sz="4" w:space="4"/>
          <w:bottom w:val="single" w:color="auto" w:sz="4" w:space="1"/>
          <w:right w:val="single" w:color="auto" w:sz="4" w:space="4"/>
        </w:pBdr>
        <w:kinsoku/>
        <w:wordWrap/>
        <w:overflowPunct w:val="0"/>
        <w:topLinePunct w:val="0"/>
        <w:autoSpaceDE/>
        <w:autoSpaceDN/>
        <w:bidi w:val="0"/>
        <w:adjustRightInd/>
        <w:snapToGrid/>
        <w:spacing w:before="0" w:beforeAutospacing="0" w:line="240" w:lineRule="auto"/>
        <w:textAlignment w:val="auto"/>
        <w:rPr>
          <w:rFonts w:hint="default" w:ascii="Arial" w:hAnsi="Arial" w:cs="Arial"/>
          <w:sz w:val="20"/>
          <w:szCs w:val="20"/>
        </w:rPr>
      </w:pPr>
      <w:r>
        <w:rPr>
          <w:rFonts w:hint="default" w:ascii="Arial" w:hAnsi="Arial" w:cs="Arial"/>
          <w:sz w:val="20"/>
          <w:szCs w:val="20"/>
        </w:rPr>
        <w:t xml:space="preserve">An optional UE capability is introduced to indicate whether the UE supports HARQ Mode B and, </w:t>
      </w:r>
      <w:r>
        <w:rPr>
          <w:rFonts w:hint="default" w:ascii="Arial" w:hAnsi="Arial" w:cs="Arial"/>
          <w:sz w:val="20"/>
          <w:szCs w:val="20"/>
          <w:highlight w:val="none"/>
        </w:rPr>
        <w:t>for eMTC,</w:t>
      </w:r>
      <w:r>
        <w:rPr>
          <w:rFonts w:hint="default" w:ascii="Arial" w:hAnsi="Arial" w:cs="Arial"/>
          <w:sz w:val="20"/>
          <w:szCs w:val="20"/>
        </w:rPr>
        <w:t xml:space="preserve"> the corresponding LCP restrictions for uplink transmission</w:t>
      </w:r>
    </w:p>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ascii="Arial" w:hAnsi="Arial" w:eastAsia="宋体" w:cs="Arial"/>
          <w:kern w:val="0"/>
          <w:sz w:val="20"/>
          <w:szCs w:val="20"/>
          <w:lang w:val="en-GB"/>
        </w:rPr>
      </w:pPr>
      <w:r>
        <w:rPr>
          <w:rFonts w:ascii="Arial" w:hAnsi="Arial" w:eastAsia="宋体" w:cs="Arial"/>
          <w:kern w:val="0"/>
          <w:sz w:val="20"/>
          <w:szCs w:val="20"/>
          <w:lang w:val="en-GB"/>
        </w:rPr>
        <w:t xml:space="preserve">This contribution will discuss the </w:t>
      </w:r>
      <w:r>
        <w:rPr>
          <w:rFonts w:hint="eastAsia" w:ascii="Arial" w:hAnsi="Arial" w:eastAsia="宋体" w:cs="Arial"/>
          <w:kern w:val="0"/>
          <w:sz w:val="20"/>
          <w:szCs w:val="20"/>
          <w:lang w:val="en-US" w:eastAsia="zh-CN"/>
        </w:rPr>
        <w:t>remaining issues on</w:t>
      </w:r>
      <w:r>
        <w:rPr>
          <w:rFonts w:ascii="Arial" w:hAnsi="Arial" w:eastAsia="宋体" w:cs="Arial"/>
          <w:kern w:val="0"/>
          <w:sz w:val="20"/>
          <w:szCs w:val="20"/>
          <w:lang w:val="en-GB"/>
        </w:rPr>
        <w:t xml:space="preserve"> </w:t>
      </w:r>
      <w:r>
        <w:rPr>
          <w:rFonts w:hint="eastAsia" w:ascii="Arial" w:hAnsi="Arial" w:eastAsia="宋体" w:cs="Arial"/>
          <w:kern w:val="0"/>
          <w:sz w:val="20"/>
          <w:szCs w:val="20"/>
        </w:rPr>
        <w:t>HARQ enhancements for IoT-NTN</w:t>
      </w:r>
      <w:r>
        <w:rPr>
          <w:rFonts w:ascii="Arial" w:hAnsi="Arial" w:eastAsia="宋体" w:cs="Arial"/>
          <w:kern w:val="0"/>
          <w:sz w:val="20"/>
          <w:szCs w:val="20"/>
          <w:lang w:val="en-GB"/>
        </w:rPr>
        <w:t>.</w:t>
      </w:r>
    </w:p>
    <w:p>
      <w:pPr>
        <w:keepNext/>
        <w:keepLines/>
        <w:widowControl/>
        <w:numPr>
          <w:ilvl w:val="0"/>
          <w:numId w:val="3"/>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Discussion</w:t>
      </w:r>
    </w:p>
    <w:p>
      <w:pPr>
        <w:widowControl/>
        <w:spacing w:before="240" w:after="180"/>
        <w:outlineLvl w:val="1"/>
        <w:rPr>
          <w:rFonts w:hint="default" w:ascii="Arial" w:hAnsi="Arial" w:eastAsia="宋体" w:cs="Arial"/>
          <w:kern w:val="0"/>
          <w:sz w:val="32"/>
          <w:szCs w:val="32"/>
          <w:lang w:val="en-US" w:eastAsia="zh-CN"/>
        </w:rPr>
      </w:pPr>
      <w:r>
        <w:rPr>
          <w:rFonts w:ascii="Arial" w:hAnsi="Arial" w:eastAsia="宋体" w:cs="Arial"/>
          <w:kern w:val="0"/>
          <w:sz w:val="32"/>
          <w:szCs w:val="32"/>
        </w:rPr>
        <w:t>2.</w:t>
      </w:r>
      <w:r>
        <w:rPr>
          <w:rFonts w:hint="eastAsia" w:ascii="Arial" w:hAnsi="Arial" w:eastAsia="宋体" w:cs="Arial"/>
          <w:kern w:val="0"/>
          <w:sz w:val="32"/>
          <w:szCs w:val="32"/>
          <w:lang w:val="en-US" w:eastAsia="zh-CN"/>
        </w:rPr>
        <w:t>1</w:t>
      </w:r>
      <w:r>
        <w:rPr>
          <w:rFonts w:ascii="Arial" w:hAnsi="Arial" w:eastAsia="宋体" w:cs="Arial"/>
          <w:kern w:val="0"/>
          <w:sz w:val="32"/>
          <w:szCs w:val="32"/>
        </w:rPr>
        <w:t xml:space="preserve"> </w:t>
      </w:r>
      <w:r>
        <w:rPr>
          <w:rFonts w:hint="eastAsia" w:ascii="Arial" w:hAnsi="Arial" w:eastAsia="宋体" w:cs="Arial"/>
          <w:kern w:val="0"/>
          <w:sz w:val="32"/>
          <w:szCs w:val="32"/>
          <w:lang w:val="en-US" w:eastAsia="zh-CN"/>
        </w:rPr>
        <w:t>HARQ operation</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In last meeting, RAN2 discussed </w:t>
      </w:r>
      <w:r>
        <w:rPr>
          <w:rFonts w:hint="default" w:ascii="Arial" w:hAnsi="Arial" w:eastAsia="宋体" w:cs="Arial"/>
          <w:kern w:val="0"/>
          <w:sz w:val="20"/>
          <w:szCs w:val="20"/>
        </w:rPr>
        <w:t>drx-inactivity timer</w:t>
      </w:r>
      <w:r>
        <w:rPr>
          <w:rFonts w:hint="eastAsia" w:ascii="Arial" w:hAnsi="Arial" w:eastAsia="宋体" w:cs="Arial"/>
          <w:kern w:val="0"/>
          <w:sz w:val="20"/>
          <w:szCs w:val="20"/>
          <w:lang w:val="en-US" w:eastAsia="zh-CN"/>
        </w:rPr>
        <w:t xml:space="preserve"> for HARQ mode B and some companies proposed to add </w:t>
      </w:r>
      <w:r>
        <w:rPr>
          <w:rFonts w:hint="default" w:ascii="Arial" w:hAnsi="Arial" w:eastAsia="宋体" w:cs="Arial"/>
          <w:kern w:val="0"/>
          <w:sz w:val="20"/>
          <w:szCs w:val="20"/>
        </w:rPr>
        <w:t xml:space="preserve">the processing time </w:t>
      </w:r>
      <w:r>
        <w:rPr>
          <w:rFonts w:hint="eastAsia" w:ascii="Arial" w:hAnsi="Arial" w:eastAsia="宋体" w:cs="Arial"/>
          <w:kern w:val="0"/>
          <w:sz w:val="20"/>
          <w:szCs w:val="20"/>
          <w:lang w:val="en-US" w:eastAsia="zh-CN"/>
        </w:rPr>
        <w:t>of</w:t>
      </w:r>
      <w:r>
        <w:rPr>
          <w:rFonts w:hint="default" w:ascii="Arial" w:hAnsi="Arial" w:eastAsia="宋体" w:cs="Arial"/>
          <w:kern w:val="0"/>
          <w:sz w:val="20"/>
          <w:szCs w:val="20"/>
        </w:rPr>
        <w:t xml:space="preserve"> drx-inactivity timer</w:t>
      </w:r>
      <w:r>
        <w:rPr>
          <w:rFonts w:hint="eastAsia" w:ascii="Arial" w:hAnsi="Arial" w:eastAsia="宋体" w:cs="Arial"/>
          <w:kern w:val="0"/>
          <w:sz w:val="20"/>
          <w:szCs w:val="20"/>
          <w:lang w:val="en-US" w:eastAsia="zh-CN"/>
        </w:rPr>
        <w:t>, such as plus UE-eNB RTT time or plus 3ms which is the gap between the NPUSCH transmission and NPDCCH monitoring as specified in TS 36.213 [2].</w:t>
      </w:r>
    </w:p>
    <w:p>
      <w:pPr>
        <w:widowControl/>
        <w:spacing w:after="180"/>
        <w:jc w:val="both"/>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However, we understand that the additional processing time is not needed for </w:t>
      </w:r>
      <w:r>
        <w:rPr>
          <w:rFonts w:hint="default" w:ascii="Arial" w:hAnsi="Arial" w:eastAsia="宋体" w:cs="Arial"/>
          <w:kern w:val="0"/>
          <w:sz w:val="20"/>
          <w:szCs w:val="20"/>
        </w:rPr>
        <w:t>drx-inactivity timer</w:t>
      </w:r>
      <w:r>
        <w:rPr>
          <w:rFonts w:hint="eastAsia" w:ascii="Arial" w:hAnsi="Arial" w:eastAsia="宋体" w:cs="Arial"/>
          <w:kern w:val="0"/>
          <w:sz w:val="20"/>
          <w:szCs w:val="20"/>
          <w:lang w:val="en-US" w:eastAsia="zh-CN"/>
        </w:rPr>
        <w:t xml:space="preserve"> for HARQ mode B. HARQ mode B means that there is no HARQ feedback for UL transmission, the UE doesn</w:t>
      </w:r>
      <w:r>
        <w:rPr>
          <w:rFonts w:hint="default" w:ascii="Arial" w:hAnsi="Arial" w:eastAsia="宋体" w:cs="Arial"/>
          <w:kern w:val="0"/>
          <w:sz w:val="20"/>
          <w:szCs w:val="20"/>
          <w:lang w:val="en-US" w:eastAsia="zh-CN"/>
        </w:rPr>
        <w:t>’</w:t>
      </w:r>
      <w:r>
        <w:rPr>
          <w:rFonts w:hint="eastAsia" w:ascii="Arial" w:hAnsi="Arial" w:eastAsia="宋体" w:cs="Arial"/>
          <w:kern w:val="0"/>
          <w:sz w:val="20"/>
          <w:szCs w:val="20"/>
          <w:lang w:val="en-US" w:eastAsia="zh-CN"/>
        </w:rPr>
        <w:t xml:space="preserve">t need to wait the eNB to decode/process and feedback. Thus, there is no need to extend the </w:t>
      </w:r>
      <w:r>
        <w:rPr>
          <w:rFonts w:hint="default" w:ascii="Arial" w:hAnsi="Arial" w:eastAsia="宋体" w:cs="Arial"/>
          <w:kern w:val="0"/>
          <w:sz w:val="20"/>
          <w:szCs w:val="20"/>
        </w:rPr>
        <w:t>drx-inactivity timer</w:t>
      </w:r>
      <w:r>
        <w:rPr>
          <w:rFonts w:hint="eastAsia" w:ascii="Arial" w:hAnsi="Arial" w:eastAsia="宋体" w:cs="Arial"/>
          <w:kern w:val="0"/>
          <w:sz w:val="20"/>
          <w:szCs w:val="20"/>
          <w:lang w:val="en-US" w:eastAsia="zh-CN"/>
        </w:rPr>
        <w:t xml:space="preserve"> to involve the UE-eNB RTT time or the gap between the NPUSCH transmission and NPDCCH monitoring, the the UE should monitor NPDCCH since eNB may schedule a new transmission. </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No additional processing time is needed for </w:t>
      </w:r>
      <w:r>
        <w:rPr>
          <w:rFonts w:hint="default" w:ascii="Arial" w:hAnsi="Arial" w:eastAsia="宋体" w:cs="Arial"/>
          <w:b/>
          <w:bCs/>
          <w:kern w:val="0"/>
          <w:sz w:val="20"/>
          <w:szCs w:val="20"/>
        </w:rPr>
        <w:t>drx-inactivity timer</w:t>
      </w:r>
      <w:r>
        <w:rPr>
          <w:rFonts w:hint="eastAsia" w:ascii="Arial" w:hAnsi="Arial" w:eastAsia="宋体" w:cs="Arial"/>
          <w:b/>
          <w:bCs/>
          <w:kern w:val="0"/>
          <w:sz w:val="20"/>
          <w:szCs w:val="20"/>
          <w:lang w:val="en-US" w:eastAsia="zh-CN"/>
        </w:rPr>
        <w:t xml:space="preserve"> for HARQ mode B.</w:t>
      </w:r>
    </w:p>
    <w:p>
      <w:pPr>
        <w:widowControl/>
        <w:spacing w:before="240" w:after="180"/>
        <w:outlineLvl w:val="1"/>
        <w:rPr>
          <w:rFonts w:hint="default" w:ascii="Arial" w:hAnsi="Arial" w:eastAsia="宋体" w:cs="Arial"/>
          <w:kern w:val="0"/>
          <w:sz w:val="32"/>
          <w:szCs w:val="32"/>
          <w:lang w:val="en-US" w:eastAsia="zh-CN"/>
        </w:rPr>
      </w:pPr>
      <w:r>
        <w:rPr>
          <w:rFonts w:ascii="Arial" w:hAnsi="Arial" w:eastAsia="宋体" w:cs="Arial"/>
          <w:kern w:val="0"/>
          <w:sz w:val="32"/>
          <w:szCs w:val="32"/>
        </w:rPr>
        <w:t>2.</w:t>
      </w:r>
      <w:r>
        <w:rPr>
          <w:rFonts w:hint="eastAsia" w:ascii="Arial" w:hAnsi="Arial" w:eastAsia="宋体" w:cs="Arial"/>
          <w:kern w:val="0"/>
          <w:sz w:val="32"/>
          <w:szCs w:val="32"/>
          <w:lang w:val="en-US" w:eastAsia="zh-CN"/>
        </w:rPr>
        <w:t>2</w:t>
      </w:r>
      <w:r>
        <w:rPr>
          <w:rFonts w:ascii="Arial" w:hAnsi="Arial" w:eastAsia="宋体" w:cs="Arial"/>
          <w:kern w:val="0"/>
          <w:sz w:val="32"/>
          <w:szCs w:val="32"/>
        </w:rPr>
        <w:t xml:space="preserve"> </w:t>
      </w:r>
      <w:r>
        <w:rPr>
          <w:rFonts w:hint="eastAsia" w:ascii="Arial" w:hAnsi="Arial" w:eastAsia="宋体" w:cs="Arial"/>
          <w:kern w:val="0"/>
          <w:sz w:val="32"/>
          <w:szCs w:val="32"/>
          <w:lang w:val="en-US" w:eastAsia="zh-CN"/>
        </w:rPr>
        <w:t xml:space="preserve">Configuration of enabling/disabling HARQ feedback </w:t>
      </w:r>
    </w:p>
    <w:p>
      <w:pPr>
        <w:widowControl/>
        <w:spacing w:after="180"/>
        <w:rPr>
          <w:rFonts w:hint="eastAsia" w:ascii="Arial" w:hAnsi="Arial" w:eastAsia="宋体" w:cs="Arial"/>
          <w:kern w:val="0"/>
          <w:sz w:val="20"/>
          <w:szCs w:val="20"/>
        </w:rPr>
      </w:pPr>
      <w:r>
        <w:rPr>
          <w:rFonts w:hint="eastAsia" w:ascii="Arial" w:hAnsi="Arial" w:eastAsia="宋体" w:cs="Arial"/>
          <w:kern w:val="0"/>
          <w:sz w:val="20"/>
          <w:szCs w:val="20"/>
        </w:rPr>
        <w:t xml:space="preserve">The signaling options for </w:t>
      </w:r>
      <w:r>
        <w:rPr>
          <w:rFonts w:hint="eastAsia" w:ascii="Arial" w:hAnsi="Arial" w:eastAsia="宋体" w:cs="Arial"/>
          <w:kern w:val="0"/>
          <w:sz w:val="20"/>
          <w:szCs w:val="20"/>
          <w:lang w:val="en-US" w:eastAsia="zh-CN"/>
        </w:rPr>
        <w:t>enabling/</w:t>
      </w:r>
      <w:r>
        <w:rPr>
          <w:rFonts w:hint="eastAsia" w:ascii="Arial" w:hAnsi="Arial" w:eastAsia="宋体" w:cs="Arial"/>
          <w:kern w:val="0"/>
          <w:sz w:val="20"/>
          <w:szCs w:val="20"/>
        </w:rPr>
        <w:t>disabling HARQ feedback were discussed in RAN1, and RAN1 has made the following agreements</w:t>
      </w:r>
      <w:r>
        <w:rPr>
          <w:rFonts w:hint="eastAsia" w:ascii="Arial" w:hAnsi="Arial" w:eastAsia="宋体" w:cs="Arial"/>
          <w:kern w:val="0"/>
          <w:sz w:val="20"/>
          <w:szCs w:val="20"/>
          <w:lang w:val="en-US" w:eastAsia="zh-CN"/>
        </w:rPr>
        <w:t>/working assumption</w:t>
      </w:r>
      <w:r>
        <w:rPr>
          <w:rFonts w:hint="eastAsia" w:ascii="Arial" w:hAnsi="Arial" w:eastAsia="宋体" w:cs="Arial"/>
          <w:kern w:val="0"/>
          <w:sz w:val="20"/>
          <w:szCs w:val="20"/>
        </w:rPr>
        <w:t xml:space="preserve"> on this</w:t>
      </w:r>
      <w:r>
        <w:rPr>
          <w:rFonts w:hint="eastAsia" w:ascii="Arial" w:hAnsi="Arial" w:eastAsia="宋体" w:cs="Arial"/>
          <w:kern w:val="0"/>
          <w:sz w:val="20"/>
          <w:szCs w:val="20"/>
          <w:lang w:val="en-US" w:eastAsia="zh-CN"/>
        </w:rPr>
        <w:t xml:space="preserve"> issue</w:t>
      </w:r>
      <w:r>
        <w:rPr>
          <w:rFonts w:hint="eastAsia" w:ascii="Arial" w:hAnsi="Arial" w:eastAsia="宋体" w:cs="Arial"/>
          <w:kern w:val="0"/>
          <w:sz w:val="20"/>
          <w:szCs w:val="20"/>
        </w:rPr>
        <w:t>.</w:t>
      </w:r>
    </w:p>
    <w:p>
      <w:pPr>
        <w:pStyle w:val="3"/>
        <w:rPr>
          <w:rFonts w:hint="eastAsia" w:eastAsia="等线"/>
        </w:rPr>
      </w:pPr>
      <w:r>
        <w:rPr>
          <w:rFonts w:ascii="Times New Roman" w:hAnsi="Times New Roman"/>
          <w:b/>
          <w:bCs/>
        </w:rPr>
        <w:t>Agreements in RAN1#110e: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rPr>
                <w:rFonts w:ascii="Times New Roman" w:hAnsi="Times New Roman"/>
                <w:b/>
                <w:bCs/>
              </w:rPr>
            </w:pPr>
            <w:r>
              <w:rPr>
                <w:rFonts w:ascii="Times New Roman" w:hAnsi="Times New Roman"/>
                <w:b/>
                <w:bCs/>
                <w:highlight w:val="green"/>
              </w:rPr>
              <w:t>Agreement</w:t>
            </w:r>
            <w:r>
              <w:rPr>
                <w:rFonts w:ascii="Times New Roman" w:hAnsi="Times New Roman"/>
                <w:b/>
                <w:bCs/>
              </w:rPr>
              <w:t xml:space="preserve"> </w:t>
            </w:r>
            <w:bookmarkStart w:id="0" w:name="_GoBack"/>
            <w:bookmarkEnd w:id="0"/>
          </w:p>
          <w:p>
            <w:pPr>
              <w:rPr>
                <w:rFonts w:ascii="Times New Roman" w:hAnsi="Times New Roman"/>
              </w:rPr>
            </w:pPr>
            <w:r>
              <w:rPr>
                <w:rFonts w:ascii="Times New Roman" w:hAnsi="Times New Roman"/>
                <w:lang w:val="en-US"/>
              </w:rPr>
              <w:t>For eMTC NTN, to configure/indicate enabling/disabling of HARQ feedback for downlink transmission, down select one or more from the following options:</w:t>
            </w:r>
          </w:p>
          <w:p>
            <w:pPr>
              <w:numPr>
                <w:ilvl w:val="0"/>
                <w:numId w:val="4"/>
              </w:numPr>
              <w:overflowPunct/>
              <w:autoSpaceDE/>
              <w:autoSpaceDN/>
              <w:adjustRightInd/>
              <w:spacing w:after="0"/>
              <w:jc w:val="left"/>
              <w:textAlignment w:val="auto"/>
              <w:rPr>
                <w:rFonts w:ascii="Times New Roman" w:hAnsi="Times New Roman"/>
              </w:rPr>
            </w:pPr>
            <w:r>
              <w:rPr>
                <w:rFonts w:ascii="Times New Roman" w:hAnsi="Times New Roman"/>
                <w:lang w:val="en-US"/>
              </w:rPr>
              <w:t>Option 1: per HARQ process via UE specific RRC signaling.</w:t>
            </w:r>
          </w:p>
          <w:p>
            <w:pPr>
              <w:numPr>
                <w:ilvl w:val="0"/>
                <w:numId w:val="4"/>
              </w:numPr>
              <w:overflowPunct/>
              <w:autoSpaceDE/>
              <w:autoSpaceDN/>
              <w:adjustRightInd/>
              <w:spacing w:after="0"/>
              <w:jc w:val="left"/>
              <w:textAlignment w:val="auto"/>
              <w:rPr>
                <w:rFonts w:ascii="Times New Roman" w:hAnsi="Times New Roman"/>
              </w:rPr>
            </w:pPr>
            <w:r>
              <w:rPr>
                <w:rFonts w:ascii="Times New Roman" w:hAnsi="Times New Roman"/>
                <w:lang w:val="en-US"/>
              </w:rPr>
              <w:t>Option 3: explicitly indicated by DCI (e.g., new field or reusing existing field).</w:t>
            </w:r>
          </w:p>
          <w:p>
            <w:pPr>
              <w:numPr>
                <w:ilvl w:val="0"/>
                <w:numId w:val="4"/>
              </w:numPr>
              <w:overflowPunct/>
              <w:autoSpaceDE/>
              <w:autoSpaceDN/>
              <w:adjustRightInd/>
              <w:spacing w:after="0"/>
              <w:jc w:val="left"/>
              <w:textAlignment w:val="auto"/>
              <w:rPr>
                <w:rFonts w:ascii="Times New Roman" w:hAnsi="Times New Roman"/>
              </w:rPr>
            </w:pPr>
            <w:r>
              <w:rPr>
                <w:rFonts w:ascii="Times New Roman" w:hAnsi="Times New Roman"/>
                <w:lang w:val="en-US"/>
              </w:rPr>
              <w:t>Option 4: implicitly indicated by existing configured/indicated/combined parameter(s) in the DCI (e.g., repetition number, TBS)</w:t>
            </w:r>
          </w:p>
          <w:p>
            <w:pPr>
              <w:numPr>
                <w:ilvl w:val="0"/>
                <w:numId w:val="4"/>
              </w:numPr>
              <w:overflowPunct/>
              <w:autoSpaceDE/>
              <w:autoSpaceDN/>
              <w:adjustRightInd/>
              <w:spacing w:after="0"/>
              <w:jc w:val="left"/>
              <w:textAlignment w:val="auto"/>
              <w:rPr>
                <w:rFonts w:ascii="Times New Roman" w:hAnsi="Times New Roman"/>
              </w:rPr>
            </w:pPr>
            <w:r>
              <w:rPr>
                <w:rFonts w:ascii="Times New Roman" w:hAnsi="Times New Roman"/>
                <w:lang w:val="en-US"/>
              </w:rPr>
              <w:t>Option 6: combinations of some options above.</w:t>
            </w:r>
          </w:p>
          <w:p>
            <w:pPr>
              <w:rPr>
                <w:rFonts w:ascii="Times New Roman" w:hAnsi="Times New Roman"/>
                <w:b/>
                <w:bCs/>
                <w:iCs/>
              </w:rPr>
            </w:pPr>
            <w:r>
              <w:rPr>
                <w:rFonts w:ascii="Times New Roman" w:hAnsi="Times New Roman"/>
                <w:b/>
                <w:bCs/>
                <w:iCs/>
                <w:highlight w:val="green"/>
                <w:lang w:val="en-US"/>
              </w:rPr>
              <w:t>Agreement</w:t>
            </w:r>
          </w:p>
          <w:p>
            <w:pPr>
              <w:rPr>
                <w:rFonts w:ascii="Times New Roman" w:hAnsi="Times New Roman"/>
              </w:rPr>
            </w:pPr>
            <w:r>
              <w:rPr>
                <w:rFonts w:ascii="Times New Roman" w:hAnsi="Times New Roman"/>
                <w:lang w:val="en-US"/>
              </w:rPr>
              <w:t>For NB-IoT NTN, to configure/indicate enabling/disabling of HARQ feedback for downlink transmission, down select one or more from the following options:</w:t>
            </w:r>
          </w:p>
          <w:p>
            <w:pPr>
              <w:numPr>
                <w:ilvl w:val="0"/>
                <w:numId w:val="4"/>
              </w:numPr>
              <w:overflowPunct/>
              <w:autoSpaceDE/>
              <w:autoSpaceDN/>
              <w:adjustRightInd/>
              <w:spacing w:after="0"/>
              <w:jc w:val="left"/>
              <w:textAlignment w:val="auto"/>
              <w:rPr>
                <w:rFonts w:ascii="Times New Roman" w:hAnsi="Times New Roman"/>
              </w:rPr>
            </w:pPr>
            <w:r>
              <w:rPr>
                <w:rFonts w:ascii="Times New Roman" w:hAnsi="Times New Roman"/>
                <w:lang w:val="en-US"/>
              </w:rPr>
              <w:t>Option 1: per HARQ process via UE specific RRC signaling</w:t>
            </w:r>
          </w:p>
          <w:p>
            <w:pPr>
              <w:numPr>
                <w:ilvl w:val="0"/>
                <w:numId w:val="4"/>
              </w:numPr>
              <w:overflowPunct/>
              <w:autoSpaceDE/>
              <w:autoSpaceDN/>
              <w:adjustRightInd/>
              <w:spacing w:after="0"/>
              <w:jc w:val="left"/>
              <w:textAlignment w:val="auto"/>
              <w:rPr>
                <w:rFonts w:ascii="Times New Roman" w:hAnsi="Times New Roman"/>
              </w:rPr>
            </w:pPr>
            <w:r>
              <w:rPr>
                <w:rFonts w:ascii="Times New Roman" w:hAnsi="Times New Roman"/>
                <w:lang w:val="en-US"/>
              </w:rPr>
              <w:t>Option 3: explicitly indicated by DCI (e.g., new field or reusing existing field)</w:t>
            </w:r>
          </w:p>
          <w:p>
            <w:pPr>
              <w:numPr>
                <w:ilvl w:val="0"/>
                <w:numId w:val="4"/>
              </w:numPr>
              <w:overflowPunct/>
              <w:autoSpaceDE/>
              <w:autoSpaceDN/>
              <w:adjustRightInd/>
              <w:spacing w:after="0"/>
              <w:jc w:val="left"/>
              <w:textAlignment w:val="auto"/>
              <w:rPr>
                <w:rFonts w:ascii="Times New Roman" w:hAnsi="Times New Roman"/>
              </w:rPr>
            </w:pPr>
            <w:r>
              <w:rPr>
                <w:rFonts w:ascii="Times New Roman" w:hAnsi="Times New Roman"/>
                <w:lang w:val="en-US"/>
              </w:rPr>
              <w:t>Option 4: implicitly indicated by existing configured/indicated/combined parameter(s) in the DCI (e.g., repetition number, TBS)</w:t>
            </w:r>
          </w:p>
          <w:p>
            <w:pPr>
              <w:numPr>
                <w:ilvl w:val="0"/>
                <w:numId w:val="4"/>
              </w:numPr>
              <w:overflowPunct/>
              <w:autoSpaceDE/>
              <w:autoSpaceDN/>
              <w:adjustRightInd/>
              <w:spacing w:after="0"/>
              <w:jc w:val="left"/>
              <w:textAlignment w:val="auto"/>
              <w:rPr>
                <w:rFonts w:hint="eastAsia"/>
              </w:rPr>
            </w:pPr>
            <w:r>
              <w:rPr>
                <w:rFonts w:ascii="Times New Roman" w:hAnsi="Times New Roman"/>
                <w:lang w:val="en-US"/>
              </w:rPr>
              <w:t>Option 6: combinations of some options above</w:t>
            </w:r>
          </w:p>
        </w:tc>
      </w:tr>
    </w:tbl>
    <w:p>
      <w:pPr>
        <w:pStyle w:val="3"/>
        <w:rPr>
          <w:rFonts w:hint="eastAsia" w:eastAsia="等线"/>
        </w:rPr>
      </w:pPr>
      <w:r>
        <w:rPr>
          <w:rFonts w:ascii="Times New Roman" w:hAnsi="Times New Roman"/>
          <w:b/>
          <w:bCs/>
        </w:rPr>
        <w:t>Agreements in RAN1#110bis-e:</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rPr>
                <w:rFonts w:ascii="Times New Roman" w:hAnsi="Times New Roman"/>
                <w:b/>
                <w:u w:val="single"/>
              </w:rPr>
            </w:pPr>
            <w:r>
              <w:rPr>
                <w:rFonts w:ascii="Times New Roman" w:hAnsi="Times New Roman"/>
                <w:b/>
                <w:bCs/>
                <w:highlight w:val="green"/>
              </w:rPr>
              <w:t>Agreement</w:t>
            </w:r>
            <w:r>
              <w:rPr>
                <w:rFonts w:ascii="Times New Roman" w:hAnsi="Times New Roman"/>
                <w:b/>
                <w:bCs/>
              </w:rPr>
              <w:t xml:space="preserve"> </w:t>
            </w:r>
          </w:p>
          <w:p>
            <w:pPr>
              <w:pStyle w:val="23"/>
              <w:rPr>
                <w:rFonts w:ascii="Times New Roman" w:hAnsi="Times New Roman" w:cs="Times New Roman"/>
                <w:sz w:val="20"/>
                <w:szCs w:val="20"/>
              </w:rPr>
            </w:pPr>
            <w:r>
              <w:rPr>
                <w:rFonts w:ascii="Times New Roman" w:hAnsi="Times New Roman" w:cs="Times New Roman"/>
                <w:sz w:val="20"/>
                <w:szCs w:val="20"/>
              </w:rPr>
              <w:t xml:space="preserve">For NB-IoT NTN, to configure/indicate enabling/disabling of HARQ feedback for downlink transmission, down select </w:t>
            </w:r>
            <w:r>
              <w:rPr>
                <w:rFonts w:ascii="Times New Roman" w:hAnsi="Times New Roman" w:cs="Times New Roman"/>
                <w:b/>
                <w:bCs/>
                <w:sz w:val="20"/>
                <w:szCs w:val="20"/>
              </w:rPr>
              <w:t>ONE</w:t>
            </w:r>
            <w:r>
              <w:rPr>
                <w:rFonts w:ascii="Times New Roman" w:hAnsi="Times New Roman" w:cs="Times New Roman"/>
                <w:sz w:val="20"/>
                <w:szCs w:val="20"/>
              </w:rPr>
              <w:t xml:space="preserve"> from the following options at RAN1#111:</w:t>
            </w:r>
          </w:p>
          <w:p>
            <w:pPr>
              <w:numPr>
                <w:ilvl w:val="0"/>
                <w:numId w:val="5"/>
              </w:numPr>
              <w:overflowPunct/>
              <w:autoSpaceDE/>
              <w:autoSpaceDN/>
              <w:adjustRightInd/>
              <w:snapToGrid w:val="0"/>
              <w:spacing w:after="0"/>
              <w:ind w:left="720"/>
              <w:jc w:val="left"/>
              <w:textAlignment w:val="auto"/>
              <w:rPr>
                <w:rFonts w:ascii="Times New Roman" w:hAnsi="Times New Roman"/>
                <w:lang w:val="en-US"/>
              </w:rPr>
            </w:pPr>
            <w:r>
              <w:rPr>
                <w:rFonts w:ascii="Times New Roman" w:hAnsi="Times New Roman"/>
                <w:lang w:val="en-US"/>
              </w:rPr>
              <w:t>Option 6a-1: Support RRC signaling configured between Option 1 and Option 3</w:t>
            </w:r>
          </w:p>
          <w:p>
            <w:pPr>
              <w:numPr>
                <w:ilvl w:val="0"/>
                <w:numId w:val="5"/>
              </w:numPr>
              <w:overflowPunct/>
              <w:autoSpaceDE/>
              <w:autoSpaceDN/>
              <w:adjustRightInd/>
              <w:snapToGrid w:val="0"/>
              <w:spacing w:after="0"/>
              <w:ind w:left="720"/>
              <w:jc w:val="left"/>
              <w:textAlignment w:val="auto"/>
              <w:rPr>
                <w:rFonts w:hint="eastAsia"/>
                <w:szCs w:val="18"/>
                <w:lang w:val="en-US"/>
              </w:rPr>
            </w:pPr>
            <w:r>
              <w:rPr>
                <w:rFonts w:ascii="Times New Roman" w:hAnsi="Times New Roman"/>
                <w:lang w:val="en-US"/>
              </w:rPr>
              <w:t>Option 6a-4: Support Option 1 by default, and support Option 3 to override default configuration for corresponding transmission</w:t>
            </w:r>
          </w:p>
        </w:tc>
      </w:tr>
    </w:tbl>
    <w:p>
      <w:pPr>
        <w:pStyle w:val="3"/>
        <w:rPr>
          <w:rFonts w:hint="eastAsia" w:eastAsia="等线"/>
        </w:rPr>
      </w:pPr>
      <w:r>
        <w:rPr>
          <w:rFonts w:hint="eastAsia" w:ascii="Times New Roman" w:hAnsi="Times New Roman"/>
          <w:b/>
          <w:bCs/>
          <w:lang w:val="en-US" w:eastAsia="zh-CN"/>
        </w:rPr>
        <w:t>Working assumption</w:t>
      </w:r>
      <w:r>
        <w:rPr>
          <w:rFonts w:ascii="Times New Roman" w:hAnsi="Times New Roman"/>
          <w:b/>
          <w:bCs/>
        </w:rPr>
        <w:t xml:space="preserve"> in RAN1#11</w:t>
      </w:r>
      <w:r>
        <w:rPr>
          <w:rFonts w:hint="eastAsia" w:ascii="Times New Roman" w:hAnsi="Times New Roman"/>
          <w:b/>
          <w:bCs/>
          <w:lang w:val="en-US" w:eastAsia="zh-CN"/>
        </w:rPr>
        <w:t>1</w:t>
      </w:r>
      <w:r>
        <w:rPr>
          <w:rFonts w:ascii="Times New Roman" w:hAnsi="Times New Roman"/>
          <w:b/>
          <w:bCs/>
        </w:rPr>
        <w:t>:</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noWrap w:val="0"/>
            <w:vAlign w:val="top"/>
          </w:tcPr>
          <w:p>
            <w:pPr>
              <w:spacing w:before="120" w:beforeLines="50" w:after="120" w:afterLines="50"/>
              <w:rPr>
                <w:rFonts w:ascii="Times New Roman" w:hAnsi="Times New Roman"/>
                <w:b/>
                <w:bCs/>
                <w:iCs/>
                <w:sz w:val="20"/>
                <w:szCs w:val="20"/>
                <w:lang w:eastAsia="zh-CN"/>
              </w:rPr>
            </w:pPr>
            <w:r>
              <w:rPr>
                <w:rFonts w:ascii="Times New Roman" w:hAnsi="Times New Roman"/>
                <w:b/>
                <w:bCs/>
                <w:iCs/>
                <w:sz w:val="20"/>
                <w:szCs w:val="20"/>
                <w:highlight w:val="darkYellow"/>
                <w:lang w:eastAsia="zh-CN"/>
              </w:rPr>
              <w:t>Working assumption</w:t>
            </w:r>
          </w:p>
          <w:p>
            <w:pPr>
              <w:pStyle w:val="23"/>
              <w:rPr>
                <w:rFonts w:ascii="Times New Roman" w:hAnsi="Times New Roman" w:cs="Times New Roman"/>
                <w:sz w:val="20"/>
                <w:szCs w:val="20"/>
              </w:rPr>
            </w:pPr>
            <w:r>
              <w:rPr>
                <w:rFonts w:ascii="Times New Roman" w:hAnsi="Times New Roman" w:cs="Times New Roman"/>
                <w:sz w:val="20"/>
                <w:szCs w:val="20"/>
              </w:rPr>
              <w:t xml:space="preserve">For NB-IoT NTN and </w:t>
            </w:r>
            <w:r>
              <w:rPr>
                <w:rFonts w:ascii="Times New Roman" w:hAnsi="Times New Roman" w:cs="Times New Roman"/>
                <w:sz w:val="20"/>
                <w:szCs w:val="20"/>
                <w:lang w:eastAsia="zh-CN"/>
              </w:rPr>
              <w:t>eMTC NTN for CE Mode B</w:t>
            </w:r>
            <w:r>
              <w:rPr>
                <w:rFonts w:ascii="Times New Roman" w:hAnsi="Times New Roman" w:cs="Times New Roman"/>
                <w:sz w:val="20"/>
                <w:szCs w:val="20"/>
              </w:rPr>
              <w:t>, to configure/indicate enabling/disabling of HARQ feedback for downlink transmission:</w:t>
            </w:r>
          </w:p>
          <w:p>
            <w:pPr>
              <w:keepNext w:val="0"/>
              <w:keepLines w:val="0"/>
              <w:pageBreakBefore w:val="0"/>
              <w:widowControl/>
              <w:numPr>
                <w:ilvl w:val="0"/>
                <w:numId w:val="5"/>
              </w:numPr>
              <w:kinsoku/>
              <w:wordWrap/>
              <w:overflowPunct w:val="0"/>
              <w:topLinePunct w:val="0"/>
              <w:autoSpaceDE w:val="0"/>
              <w:autoSpaceDN w:val="0"/>
              <w:bidi w:val="0"/>
              <w:adjustRightInd w:val="0"/>
              <w:snapToGrid w:val="0"/>
              <w:spacing w:before="0" w:beforeAutospacing="0" w:after="0"/>
              <w:ind w:left="839" w:hanging="420"/>
              <w:textAlignment w:val="baseline"/>
              <w:rPr>
                <w:rFonts w:ascii="Times New Roman" w:hAnsi="Times New Roman"/>
                <w:sz w:val="20"/>
                <w:szCs w:val="20"/>
              </w:rPr>
            </w:pPr>
            <w:r>
              <w:rPr>
                <w:rFonts w:ascii="Times New Roman" w:hAnsi="Times New Roman"/>
                <w:sz w:val="20"/>
                <w:szCs w:val="20"/>
              </w:rPr>
              <w:t>Support Option 1 by default, and support Option 3 to override default configuration for corresponding transmission</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rPr>
            </w:pPr>
            <w:r>
              <w:rPr>
                <w:rFonts w:ascii="Times New Roman" w:hAnsi="Times New Roman"/>
                <w:sz w:val="20"/>
                <w:szCs w:val="20"/>
                <w:lang w:eastAsia="zh-CN"/>
              </w:rPr>
              <w:t>Additional RRC signaling to enable Option 3</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lang w:eastAsia="zh-CN"/>
              </w:rPr>
            </w:pPr>
            <w:r>
              <w:rPr>
                <w:rFonts w:ascii="Times New Roman" w:hAnsi="Times New Roman"/>
                <w:sz w:val="20"/>
                <w:szCs w:val="20"/>
              </w:rPr>
              <w:t>If</w:t>
            </w:r>
            <w:r>
              <w:rPr>
                <w:rFonts w:ascii="Times New Roman" w:hAnsi="Times New Roman"/>
                <w:sz w:val="20"/>
                <w:szCs w:val="20"/>
                <w:lang w:eastAsia="zh-CN"/>
              </w:rPr>
              <w:t xml:space="preserve"> the bitmap for option 1 is not present and if option 3 is configured then the DCI directly indicates HARQ enable/disable. Option 3 can also be configured when the bitmap for option 1 is configured.</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lang w:eastAsia="zh-CN"/>
              </w:rPr>
            </w:pPr>
            <w:r>
              <w:rPr>
                <w:rFonts w:ascii="Times New Roman" w:hAnsi="Times New Roman"/>
                <w:sz w:val="20"/>
                <w:szCs w:val="20"/>
                <w:lang w:eastAsia="zh-CN"/>
              </w:rPr>
              <w:t>FFS #1: Option 3 DCI-based overridden mechanism is applied to both semi-statically HARQ enabled and disabled processes or only applied to semi-statically HARQ disabled processes or only applied to semi-statically HARQ enabled processes.</w:t>
            </w:r>
          </w:p>
          <w:p>
            <w:pPr>
              <w:keepNext w:val="0"/>
              <w:keepLines w:val="0"/>
              <w:pageBreakBefore w:val="0"/>
              <w:widowControl/>
              <w:numPr>
                <w:ilvl w:val="1"/>
                <w:numId w:val="5"/>
              </w:numPr>
              <w:kinsoku/>
              <w:wordWrap/>
              <w:overflowPunct w:val="0"/>
              <w:topLinePunct w:val="0"/>
              <w:autoSpaceDE w:val="0"/>
              <w:autoSpaceDN w:val="0"/>
              <w:bidi w:val="0"/>
              <w:adjustRightInd w:val="0"/>
              <w:snapToGrid w:val="0"/>
              <w:spacing w:before="0" w:beforeAutospacing="0" w:after="0"/>
              <w:ind w:left="1259" w:hanging="420"/>
              <w:textAlignment w:val="baseline"/>
              <w:rPr>
                <w:rFonts w:ascii="Times New Roman" w:hAnsi="Times New Roman"/>
                <w:sz w:val="20"/>
                <w:szCs w:val="20"/>
              </w:rPr>
            </w:pPr>
            <w:r>
              <w:rPr>
                <w:rFonts w:ascii="Times New Roman" w:hAnsi="Times New Roman"/>
                <w:sz w:val="20"/>
                <w:szCs w:val="20"/>
                <w:lang w:eastAsia="zh-CN"/>
              </w:rPr>
              <w:t>FFS #2: whether/how to support Option 3 overriding default configuration for corresponding transmission for multiple TBs scheduled by single DCI</w:t>
            </w:r>
          </w:p>
          <w:p>
            <w:pPr>
              <w:keepNext w:val="0"/>
              <w:keepLines w:val="0"/>
              <w:pageBreakBefore w:val="0"/>
              <w:widowControl/>
              <w:kinsoku/>
              <w:wordWrap/>
              <w:overflowPunct w:val="0"/>
              <w:topLinePunct w:val="0"/>
              <w:autoSpaceDE w:val="0"/>
              <w:autoSpaceDN w:val="0"/>
              <w:bidi w:val="0"/>
              <w:adjustRightInd w:val="0"/>
              <w:spacing w:before="0" w:beforeAutospacing="0" w:after="0"/>
              <w:textAlignment w:val="baseline"/>
              <w:rPr>
                <w:rFonts w:hint="eastAsia"/>
                <w:szCs w:val="18"/>
                <w:lang w:val="en-US"/>
              </w:rPr>
            </w:pPr>
            <w:r>
              <w:rPr>
                <w:rFonts w:ascii="Times New Roman" w:hAnsi="Times New Roman"/>
                <w:sz w:val="20"/>
                <w:szCs w:val="20"/>
                <w:lang w:eastAsia="zh-CN"/>
              </w:rPr>
              <w:t xml:space="preserve">For eMTC NTN, to configure/indicate enabling/disabling of </w:t>
            </w:r>
            <w:r>
              <w:rPr>
                <w:rFonts w:ascii="Times New Roman" w:hAnsi="Times New Roman"/>
                <w:sz w:val="20"/>
                <w:szCs w:val="20"/>
              </w:rPr>
              <w:t xml:space="preserve">HARQ feedback </w:t>
            </w:r>
            <w:r>
              <w:rPr>
                <w:rFonts w:ascii="Times New Roman" w:hAnsi="Times New Roman"/>
                <w:sz w:val="20"/>
                <w:szCs w:val="20"/>
                <w:lang w:eastAsia="zh-CN"/>
              </w:rPr>
              <w:t>for downlink transmission, take Option 1 for CE Mode A.</w:t>
            </w:r>
          </w:p>
        </w:tc>
      </w:tr>
    </w:tbl>
    <w:p>
      <w:pPr>
        <w:keepNext w:val="0"/>
        <w:keepLines w:val="0"/>
        <w:pageBreakBefore w:val="0"/>
        <w:widowControl/>
        <w:kinsoku/>
        <w:wordWrap/>
        <w:overflowPunct/>
        <w:topLinePunct w:val="0"/>
        <w:autoSpaceDE/>
        <w:autoSpaceDN/>
        <w:bidi w:val="0"/>
        <w:adjustRightInd/>
        <w:snapToGrid/>
        <w:spacing w:before="157" w:beforeLines="50" w:after="180"/>
        <w:textAlignment w:val="auto"/>
        <w:rPr>
          <w:rFonts w:hint="default" w:ascii="Arial" w:hAnsi="Arial" w:eastAsia="宋体" w:cs="Arial"/>
          <w:kern w:val="0"/>
          <w:sz w:val="20"/>
          <w:szCs w:val="20"/>
          <w:lang w:val="en-US" w:eastAsia="zh-CN"/>
        </w:rPr>
      </w:pPr>
      <w:r>
        <w:rPr>
          <w:rFonts w:hint="eastAsia" w:ascii="Arial" w:hAnsi="Arial" w:eastAsia="宋体" w:cs="Arial"/>
          <w:kern w:val="0"/>
          <w:sz w:val="20"/>
          <w:szCs w:val="20"/>
          <w:lang w:val="en-US" w:eastAsia="zh-CN"/>
        </w:rPr>
        <w:t xml:space="preserve">Based on above agreements, RAN1 supports to configure/indicate enabling/disabling of HARQ feedback for DL per HARQ process via RRC signaling, and supports to override default configuration via DCI. The details of DCI should be discussed in RAN1, and RAN2 should discuss the configuration of RRC signaling. In addition, we think the same mechanism can be applied for downlink and uplink transmission. </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same mechanism can be applied to configure/indicate enabling/disabling of HARQ feedback for downlink and uplink transmission, i.e. support the configuration via RRC signaling per HARQ process by default, and support DCI to override default configuration.</w:t>
      </w:r>
    </w:p>
    <w:p>
      <w:pPr>
        <w:pStyle w:val="3"/>
        <w:rPr>
          <w:rFonts w:hint="default" w:ascii="Arial" w:hAnsi="Arial" w:eastAsia="等线" w:cs="Arial"/>
        </w:rPr>
      </w:pPr>
      <w:r>
        <w:rPr>
          <w:rFonts w:hint="default" w:ascii="Arial" w:hAnsi="Arial" w:eastAsia="等线" w:cs="Arial"/>
        </w:rPr>
        <w:t xml:space="preserve">In NR NTN, a </w:t>
      </w:r>
      <w:r>
        <w:rPr>
          <w:rFonts w:hint="eastAsia" w:ascii="Arial" w:hAnsi="Arial" w:eastAsia="等线" w:cs="Arial"/>
          <w:lang w:val="en-US" w:eastAsia="zh-CN"/>
        </w:rPr>
        <w:t>field</w:t>
      </w:r>
      <w:r>
        <w:rPr>
          <w:rFonts w:hint="default" w:ascii="Arial" w:hAnsi="Arial" w:eastAsia="等线" w:cs="Arial"/>
          <w:i/>
        </w:rPr>
        <w:t xml:space="preserve"> downlinkHARQ-FeedbackDisabled</w:t>
      </w:r>
      <w:r>
        <w:rPr>
          <w:rFonts w:hint="default" w:ascii="Arial" w:hAnsi="Arial" w:eastAsia="等线" w:cs="Arial"/>
        </w:rPr>
        <w:t xml:space="preserve"> in </w:t>
      </w:r>
      <w:r>
        <w:rPr>
          <w:rFonts w:hint="default" w:ascii="Arial" w:hAnsi="Arial" w:eastAsia="等线" w:cs="Arial"/>
          <w:i/>
        </w:rPr>
        <w:t>PDSCH-ServingCellConfig</w:t>
      </w:r>
      <w:r>
        <w:rPr>
          <w:rFonts w:hint="default" w:ascii="Arial" w:hAnsi="Arial" w:eastAsia="等线" w:cs="Arial"/>
        </w:rPr>
        <w:t xml:space="preserve"> IE </w:t>
      </w:r>
      <w:r>
        <w:rPr>
          <w:rFonts w:hint="eastAsia" w:ascii="Arial" w:hAnsi="Arial" w:eastAsia="等线" w:cs="Arial"/>
          <w:lang w:val="en-US" w:eastAsia="zh-CN"/>
        </w:rPr>
        <w:t xml:space="preserve">is used to disable the DL HARQ feedback per HARQ process ID, </w:t>
      </w:r>
      <w:r>
        <w:rPr>
          <w:rFonts w:hint="default" w:ascii="Arial" w:hAnsi="Arial" w:eastAsia="等线" w:cs="Arial"/>
        </w:rPr>
        <w:t xml:space="preserve">and a </w:t>
      </w:r>
      <w:r>
        <w:rPr>
          <w:rFonts w:hint="eastAsia" w:ascii="Arial" w:hAnsi="Arial" w:eastAsia="等线" w:cs="Arial"/>
          <w:lang w:val="en-US" w:eastAsia="zh-CN"/>
        </w:rPr>
        <w:t>field</w:t>
      </w:r>
      <w:r>
        <w:rPr>
          <w:rFonts w:hint="default" w:ascii="Arial" w:hAnsi="Arial" w:eastAsia="等线" w:cs="Arial"/>
          <w:i/>
        </w:rPr>
        <w:t xml:space="preserve"> UplinkHARQ-mode</w:t>
      </w:r>
      <w:r>
        <w:rPr>
          <w:rFonts w:hint="default" w:ascii="Arial" w:hAnsi="Arial" w:eastAsia="等线" w:cs="Arial"/>
        </w:rPr>
        <w:t xml:space="preserve"> in </w:t>
      </w:r>
      <w:r>
        <w:rPr>
          <w:rFonts w:hint="default" w:ascii="Arial" w:hAnsi="Arial" w:eastAsia="等线" w:cs="Arial"/>
          <w:i/>
        </w:rPr>
        <w:t>PUSCH-ServingCellConfig</w:t>
      </w:r>
      <w:r>
        <w:rPr>
          <w:rFonts w:hint="default" w:ascii="Arial" w:hAnsi="Arial" w:eastAsia="等线" w:cs="Arial"/>
        </w:rPr>
        <w:t xml:space="preserve"> IE </w:t>
      </w:r>
      <w:r>
        <w:rPr>
          <w:rFonts w:hint="eastAsia" w:ascii="Arial" w:hAnsi="Arial" w:eastAsia="等线" w:cs="Arial"/>
          <w:lang w:val="en-US" w:eastAsia="zh-CN"/>
        </w:rPr>
        <w:t>is</w:t>
      </w:r>
      <w:r>
        <w:rPr>
          <w:rFonts w:hint="default" w:ascii="Arial" w:hAnsi="Arial" w:eastAsia="等线" w:cs="Arial"/>
        </w:rPr>
        <w:t xml:space="preserve"> used to set the HARQ mode per HARQ process ID. For IoT</w:t>
      </w:r>
      <w:r>
        <w:rPr>
          <w:rFonts w:hint="eastAsia" w:ascii="Arial" w:hAnsi="Arial" w:eastAsia="等线" w:cs="Arial"/>
          <w:lang w:val="en-US" w:eastAsia="zh-CN"/>
        </w:rPr>
        <w:t>-</w:t>
      </w:r>
      <w:r>
        <w:rPr>
          <w:rFonts w:hint="default" w:ascii="Arial" w:hAnsi="Arial" w:eastAsia="等线" w:cs="Arial"/>
        </w:rPr>
        <w:t>NTN, we c</w:t>
      </w:r>
      <w:r>
        <w:rPr>
          <w:rFonts w:hint="eastAsia" w:ascii="Arial" w:hAnsi="Arial" w:eastAsia="等线" w:cs="Arial"/>
          <w:lang w:val="en-US" w:eastAsia="zh-CN"/>
        </w:rPr>
        <w:t>an</w:t>
      </w:r>
      <w:r>
        <w:rPr>
          <w:rFonts w:hint="default" w:ascii="Arial" w:hAnsi="Arial" w:eastAsia="等线" w:cs="Arial"/>
        </w:rPr>
        <w:t xml:space="preserve"> </w:t>
      </w:r>
      <w:r>
        <w:rPr>
          <w:rFonts w:hint="eastAsia" w:ascii="Arial" w:hAnsi="Arial" w:eastAsia="等线" w:cs="Arial"/>
          <w:lang w:val="en-US" w:eastAsia="zh-CN"/>
        </w:rPr>
        <w:t xml:space="preserve">introduce the similar fields to disable the DL HARQ feedback or </w:t>
      </w:r>
      <w:r>
        <w:rPr>
          <w:rFonts w:hint="default" w:ascii="Arial" w:hAnsi="Arial" w:eastAsia="等线" w:cs="Arial"/>
        </w:rPr>
        <w:t>set the HARQ mode per HARQ process ID</w:t>
      </w:r>
      <w:r>
        <w:rPr>
          <w:rFonts w:hint="eastAsia" w:ascii="Arial" w:hAnsi="Arial" w:eastAsia="等线" w:cs="Arial"/>
          <w:lang w:val="en-US" w:eastAsia="zh-CN"/>
        </w:rPr>
        <w:t>.</w:t>
      </w:r>
      <w:r>
        <w:rPr>
          <w:rFonts w:hint="default" w:ascii="Arial" w:hAnsi="Arial" w:eastAsia="等线" w:cs="Arial"/>
        </w:rPr>
        <w:t xml:space="preserve"> </w:t>
      </w:r>
    </w:p>
    <w:p>
      <w:pPr>
        <w:pStyle w:val="3"/>
        <w:rPr>
          <w:rFonts w:hint="default" w:ascii="Arial" w:hAnsi="Arial" w:cs="Arial"/>
        </w:rPr>
      </w:pPr>
      <w:r>
        <w:rPr>
          <w:rFonts w:hint="eastAsia" w:ascii="Arial" w:hAnsi="Arial" w:eastAsia="等线" w:cs="Arial"/>
          <w:lang w:val="en-US" w:eastAsia="zh-CN"/>
        </w:rPr>
        <w:t>For DL transmission</w:t>
      </w:r>
      <w:r>
        <w:rPr>
          <w:rFonts w:hint="default" w:ascii="Arial" w:hAnsi="Arial" w:eastAsia="等线" w:cs="Arial"/>
        </w:rPr>
        <w:t>,</w:t>
      </w:r>
      <w:r>
        <w:rPr>
          <w:rFonts w:hint="eastAsia" w:ascii="Arial" w:hAnsi="Arial" w:eastAsia="等线" w:cs="Arial"/>
          <w:lang w:val="en-US" w:eastAsia="zh-CN"/>
        </w:rPr>
        <w:t xml:space="preserve"> the</w:t>
      </w:r>
      <w:r>
        <w:rPr>
          <w:rFonts w:hint="default" w:ascii="Arial" w:hAnsi="Arial" w:eastAsia="等线" w:cs="Arial"/>
        </w:rPr>
        <w:t xml:space="preserve"> configuration of enabling/disabling HARQ feedback </w:t>
      </w:r>
      <w:r>
        <w:rPr>
          <w:rFonts w:hint="eastAsia" w:ascii="Arial" w:hAnsi="Arial" w:eastAsia="等线" w:cs="Arial"/>
          <w:lang w:val="en-US" w:eastAsia="zh-CN"/>
        </w:rPr>
        <w:t>can be</w:t>
      </w:r>
      <w:r>
        <w:rPr>
          <w:rFonts w:hint="default" w:ascii="Arial" w:hAnsi="Arial" w:eastAsia="等线" w:cs="Arial"/>
        </w:rPr>
        <w:t xml:space="preserve"> included in </w:t>
      </w:r>
      <w:r>
        <w:rPr>
          <w:rFonts w:hint="default" w:ascii="Arial" w:hAnsi="Arial" w:eastAsia="等线" w:cs="Arial"/>
          <w:i/>
        </w:rPr>
        <w:t>PDSCH-Config</w:t>
      </w:r>
      <w:r>
        <w:rPr>
          <w:rFonts w:hint="default" w:ascii="Arial" w:hAnsi="Arial" w:eastAsia="等线" w:cs="Arial"/>
        </w:rPr>
        <w:t xml:space="preserve"> IE and </w:t>
      </w:r>
      <w:r>
        <w:rPr>
          <w:rFonts w:hint="default" w:ascii="Arial" w:hAnsi="Arial" w:eastAsia="等线" w:cs="Arial"/>
          <w:i/>
        </w:rPr>
        <w:t>NPDSCH-Config-NB</w:t>
      </w:r>
      <w:r>
        <w:rPr>
          <w:rFonts w:hint="default" w:ascii="Arial" w:hAnsi="Arial" w:eastAsia="等线" w:cs="Arial"/>
        </w:rPr>
        <w:t xml:space="preserve"> IE</w:t>
      </w:r>
      <w:r>
        <w:rPr>
          <w:rFonts w:hint="eastAsia" w:ascii="Arial" w:hAnsi="Arial" w:eastAsia="等线" w:cs="Arial"/>
          <w:lang w:val="en-US" w:eastAsia="zh-CN"/>
        </w:rPr>
        <w:t xml:space="preserve"> for eMTC and NB-IoT</w:t>
      </w:r>
      <w:r>
        <w:rPr>
          <w:rFonts w:hint="default" w:ascii="Arial" w:hAnsi="Arial" w:eastAsia="等线" w:cs="Arial"/>
        </w:rPr>
        <w:t xml:space="preserve"> respectively</w:t>
      </w:r>
      <w:r>
        <w:rPr>
          <w:rFonts w:hint="eastAsia" w:ascii="Arial" w:hAnsi="Arial" w:eastAsia="等线" w:cs="Arial"/>
          <w:lang w:val="en-US" w:eastAsia="zh-CN"/>
        </w:rPr>
        <w:t>. For UL transmission,</w:t>
      </w:r>
      <w:r>
        <w:rPr>
          <w:rFonts w:hint="default" w:ascii="Arial" w:hAnsi="Arial" w:eastAsia="等线" w:cs="Arial"/>
        </w:rPr>
        <w:t xml:space="preserve"> </w:t>
      </w:r>
      <w:r>
        <w:rPr>
          <w:rFonts w:hint="eastAsia" w:ascii="Arial" w:hAnsi="Arial" w:eastAsia="等线" w:cs="Arial"/>
          <w:lang w:val="en-US" w:eastAsia="zh-CN"/>
        </w:rPr>
        <w:t xml:space="preserve">the </w:t>
      </w:r>
      <w:r>
        <w:rPr>
          <w:rFonts w:hint="default" w:ascii="Arial" w:hAnsi="Arial" w:cs="Arial"/>
        </w:rPr>
        <w:t xml:space="preserve">configuration of HARQ mode </w:t>
      </w:r>
      <w:r>
        <w:rPr>
          <w:rFonts w:hint="eastAsia" w:ascii="Arial" w:hAnsi="Arial" w:cs="Arial"/>
          <w:lang w:val="en-US" w:eastAsia="zh-CN"/>
        </w:rPr>
        <w:t>can be</w:t>
      </w:r>
      <w:r>
        <w:rPr>
          <w:rFonts w:hint="default" w:ascii="Arial" w:hAnsi="Arial" w:cs="Arial"/>
        </w:rPr>
        <w:t xml:space="preserve"> included in </w:t>
      </w:r>
      <w:r>
        <w:rPr>
          <w:rFonts w:hint="default" w:ascii="Arial" w:hAnsi="Arial" w:cs="Arial"/>
          <w:i/>
        </w:rPr>
        <w:t>PUSCH-Config</w:t>
      </w:r>
      <w:r>
        <w:rPr>
          <w:rFonts w:hint="default" w:ascii="Arial" w:hAnsi="Arial" w:cs="Arial"/>
        </w:rPr>
        <w:t xml:space="preserve"> </w:t>
      </w:r>
      <w:r>
        <w:rPr>
          <w:rFonts w:hint="default" w:ascii="Arial" w:hAnsi="Arial" w:eastAsia="等线" w:cs="Arial"/>
        </w:rPr>
        <w:t>IE</w:t>
      </w:r>
      <w:r>
        <w:rPr>
          <w:rFonts w:hint="default" w:ascii="Arial" w:hAnsi="Arial" w:cs="Arial"/>
        </w:rPr>
        <w:t xml:space="preserve"> and </w:t>
      </w:r>
      <w:r>
        <w:rPr>
          <w:rFonts w:hint="default" w:ascii="Arial" w:hAnsi="Arial" w:cs="Arial"/>
          <w:i/>
        </w:rPr>
        <w:t>NPUSCH-Config-NB</w:t>
      </w:r>
      <w:r>
        <w:rPr>
          <w:rFonts w:hint="default" w:ascii="Arial" w:hAnsi="Arial" w:eastAsia="等线" w:cs="Arial"/>
        </w:rPr>
        <w:t xml:space="preserve"> IE</w:t>
      </w:r>
      <w:r>
        <w:rPr>
          <w:rFonts w:hint="eastAsia" w:ascii="Arial" w:hAnsi="Arial" w:eastAsia="等线" w:cs="Arial"/>
          <w:lang w:val="en-US" w:eastAsia="zh-CN"/>
        </w:rPr>
        <w:t xml:space="preserve"> for eMTC and NB-IoT</w:t>
      </w:r>
      <w:r>
        <w:rPr>
          <w:rFonts w:hint="default" w:ascii="Arial" w:hAnsi="Arial" w:eastAsia="等线" w:cs="Arial"/>
        </w:rPr>
        <w:t xml:space="preserve"> </w:t>
      </w:r>
      <w:r>
        <w:rPr>
          <w:rFonts w:hint="default" w:ascii="Arial" w:hAnsi="Arial" w:cs="Arial"/>
        </w:rPr>
        <w:t>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3: The configuration of enabling/disabling HARQ feedback for DL transmission can be included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The configuration of enabling/disabling HARQ feedback for UL transmission can be included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kern w:val="0"/>
          <w:sz w:val="20"/>
          <w:szCs w:val="20"/>
          <w:lang w:val="en-US" w:eastAsia="zh-CN"/>
        </w:rPr>
      </w:pPr>
      <w:r>
        <w:rPr>
          <w:rFonts w:hint="eastAsia" w:ascii="Arial" w:hAnsi="Arial" w:eastAsia="宋体" w:cs="Arial"/>
          <w:kern w:val="0"/>
          <w:sz w:val="20"/>
          <w:szCs w:val="20"/>
          <w:lang w:val="en-US" w:eastAsia="zh-CN"/>
        </w:rPr>
        <w:t>In addition, RAN1 highlighted the additional RRC signaling to enable option 3 is needed, so it is necessary to introduce a new IE in RRC signaling to indicate whether option 3 is supported.</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Introduce a new IE in RRC signaling to configure whether DCI is supported to indicate HARQ enabling/disabling.</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pPr>
        <w:widowControl/>
        <w:spacing w:after="180"/>
        <w:rPr>
          <w:rFonts w:ascii="Arial" w:hAnsi="Arial" w:eastAsia="宋体" w:cs="Arial"/>
          <w:kern w:val="0"/>
          <w:sz w:val="20"/>
          <w:szCs w:val="20"/>
          <w:lang w:val="en-GB" w:eastAsia="en-US"/>
        </w:rPr>
      </w:pPr>
      <w:r>
        <w:rPr>
          <w:rFonts w:ascii="Arial" w:hAnsi="Arial" w:eastAsia="宋体" w:cs="Arial"/>
          <w:kern w:val="0"/>
          <w:sz w:val="20"/>
          <w:szCs w:val="20"/>
          <w:lang w:val="en-GB" w:eastAsia="en-US"/>
        </w:rPr>
        <w:t xml:space="preserve">Here are the proposals for </w:t>
      </w:r>
      <w:r>
        <w:rPr>
          <w:rFonts w:hint="eastAsia" w:ascii="Arial" w:hAnsi="Arial" w:eastAsia="宋体" w:cs="Arial"/>
          <w:kern w:val="0"/>
          <w:sz w:val="20"/>
          <w:szCs w:val="20"/>
        </w:rPr>
        <w:t xml:space="preserve">HARQ </w:t>
      </w:r>
      <w:r>
        <w:rPr>
          <w:rFonts w:ascii="Arial" w:hAnsi="Arial" w:eastAsia="宋体" w:cs="Arial"/>
          <w:kern w:val="0"/>
          <w:sz w:val="20"/>
          <w:szCs w:val="20"/>
          <w:lang w:val="en-GB" w:eastAsia="en-US"/>
        </w:rPr>
        <w:t>enhancement</w:t>
      </w:r>
      <w:r>
        <w:rPr>
          <w:rFonts w:hint="eastAsia" w:ascii="Arial" w:hAnsi="Arial" w:eastAsia="宋体" w:cs="Arial"/>
          <w:kern w:val="0"/>
          <w:sz w:val="20"/>
          <w:szCs w:val="20"/>
        </w:rPr>
        <w:t>s for IoT-NTN</w:t>
      </w:r>
      <w:r>
        <w:rPr>
          <w:rFonts w:ascii="Arial" w:hAnsi="Arial" w:eastAsia="宋体" w:cs="Arial"/>
          <w:kern w:val="0"/>
          <w:sz w:val="20"/>
          <w:szCs w:val="20"/>
          <w:lang w:val="en-GB" w:eastAsia="en-US"/>
        </w:rPr>
        <w:t>.</w:t>
      </w:r>
    </w:p>
    <w:p>
      <w:pPr>
        <w:widowControl/>
        <w:spacing w:after="180"/>
        <w:rPr>
          <w:rFonts w:hint="default"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1: No additional processing time is needed for </w:t>
      </w:r>
      <w:r>
        <w:rPr>
          <w:rFonts w:hint="default" w:ascii="Arial" w:hAnsi="Arial" w:eastAsia="宋体" w:cs="Arial"/>
          <w:b/>
          <w:bCs/>
          <w:kern w:val="0"/>
          <w:sz w:val="20"/>
          <w:szCs w:val="20"/>
        </w:rPr>
        <w:t>drx-inactivity timer</w:t>
      </w:r>
      <w:r>
        <w:rPr>
          <w:rFonts w:hint="eastAsia" w:ascii="Arial" w:hAnsi="Arial" w:eastAsia="宋体" w:cs="Arial"/>
          <w:b/>
          <w:bCs/>
          <w:kern w:val="0"/>
          <w:sz w:val="20"/>
          <w:szCs w:val="20"/>
          <w:lang w:val="en-US" w:eastAsia="zh-CN"/>
        </w:rPr>
        <w:t xml:space="preserve"> for HARQ mode B.</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2: The same mechanism is applied to configure/indicate enabling/disabling of HARQ feedback for downlink and uplink transmission, i.e. support the configuration via RRC signaling per HARQ process by default, and support DCI to override default configuration.</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3: The configuration of enabling/disabling HARQ feedback for DL transmission can be included in </w:t>
      </w:r>
      <w:r>
        <w:rPr>
          <w:rFonts w:hint="eastAsia" w:ascii="Arial" w:hAnsi="Arial" w:eastAsia="宋体" w:cs="Arial"/>
          <w:b/>
          <w:bCs/>
          <w:i/>
          <w:iCs/>
          <w:kern w:val="0"/>
          <w:sz w:val="20"/>
          <w:szCs w:val="20"/>
          <w:lang w:val="en-US" w:eastAsia="zh-CN"/>
        </w:rPr>
        <w:t>PDSCH-Config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NPDSCH-Config-NB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 xml:space="preserve">Proposal 4: The configuration of enabling/disabling HARQ feedback for UL transmission can be included in </w:t>
      </w:r>
      <w:r>
        <w:rPr>
          <w:rFonts w:hint="eastAsia" w:ascii="Arial" w:hAnsi="Arial" w:eastAsia="宋体" w:cs="Arial"/>
          <w:b/>
          <w:bCs/>
          <w:i/>
          <w:iCs/>
          <w:kern w:val="0"/>
          <w:sz w:val="20"/>
          <w:szCs w:val="20"/>
          <w:lang w:val="en-US" w:eastAsia="zh-CN"/>
        </w:rPr>
        <w:t>PUSCH-Config</w:t>
      </w:r>
      <w:r>
        <w:rPr>
          <w:rFonts w:hint="eastAsia" w:ascii="Arial" w:hAnsi="Arial" w:eastAsia="宋体" w:cs="Arial"/>
          <w:b/>
          <w:bCs/>
          <w:kern w:val="0"/>
          <w:sz w:val="20"/>
          <w:szCs w:val="20"/>
          <w:lang w:val="en-US" w:eastAsia="zh-CN"/>
        </w:rPr>
        <w:t xml:space="preserve"> IE and </w:t>
      </w:r>
      <w:r>
        <w:rPr>
          <w:rFonts w:hint="eastAsia" w:ascii="Arial" w:hAnsi="Arial" w:eastAsia="宋体" w:cs="Arial"/>
          <w:b/>
          <w:bCs/>
          <w:i/>
          <w:iCs/>
          <w:kern w:val="0"/>
          <w:sz w:val="20"/>
          <w:szCs w:val="20"/>
          <w:lang w:val="en-US" w:eastAsia="zh-CN"/>
        </w:rPr>
        <w:t>NPUSCH-Config-NB</w:t>
      </w:r>
      <w:r>
        <w:rPr>
          <w:rFonts w:hint="eastAsia" w:ascii="Arial" w:hAnsi="Arial" w:eastAsia="宋体" w:cs="Arial"/>
          <w:b/>
          <w:bCs/>
          <w:kern w:val="0"/>
          <w:sz w:val="20"/>
          <w:szCs w:val="20"/>
          <w:lang w:val="en-US" w:eastAsia="zh-CN"/>
        </w:rPr>
        <w:t xml:space="preserve"> IE for eMTC and NB-IoT respectively.</w:t>
      </w:r>
    </w:p>
    <w:p>
      <w:pPr>
        <w:widowControl/>
        <w:spacing w:after="180"/>
        <w:rPr>
          <w:rFonts w:hint="eastAsia" w:ascii="Arial" w:hAnsi="Arial" w:eastAsia="宋体" w:cs="Arial"/>
          <w:b/>
          <w:bCs/>
          <w:kern w:val="0"/>
          <w:sz w:val="20"/>
          <w:szCs w:val="20"/>
          <w:lang w:val="en-US" w:eastAsia="zh-CN"/>
        </w:rPr>
      </w:pPr>
      <w:r>
        <w:rPr>
          <w:rFonts w:hint="eastAsia" w:ascii="Arial" w:hAnsi="Arial" w:eastAsia="宋体" w:cs="Arial"/>
          <w:b/>
          <w:bCs/>
          <w:kern w:val="0"/>
          <w:sz w:val="20"/>
          <w:szCs w:val="20"/>
          <w:lang w:val="en-US" w:eastAsia="zh-CN"/>
        </w:rPr>
        <w:t>Proposal 5: Introduce a new IE in RRC signaling to configure whether DCI is supported to indicate HARQ enabling/disabling.</w:t>
      </w:r>
    </w:p>
    <w:p>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ascii="Arial" w:hAnsi="Arial" w:eastAsia="宋体" w:cs="Arial"/>
          <w:kern w:val="0"/>
          <w:sz w:val="20"/>
          <w:szCs w:val="20"/>
          <w:lang w:val="en-GB" w:eastAsia="en-US"/>
        </w:rPr>
        <w:t>RP-22</w:t>
      </w:r>
      <w:r>
        <w:rPr>
          <w:rFonts w:hint="eastAsia" w:ascii="Arial" w:hAnsi="Arial" w:eastAsia="宋体" w:cs="Arial"/>
          <w:kern w:val="0"/>
          <w:sz w:val="20"/>
          <w:szCs w:val="20"/>
        </w:rPr>
        <w:t>XXXX</w:t>
      </w:r>
      <w:r>
        <w:rPr>
          <w:rFonts w:ascii="Arial" w:hAnsi="Arial" w:eastAsia="宋体" w:cs="Arial"/>
          <w:kern w:val="0"/>
          <w:sz w:val="20"/>
          <w:szCs w:val="20"/>
          <w:lang w:val="en-GB" w:eastAsia="en-US"/>
        </w:rPr>
        <w:t xml:space="preserve">, </w:t>
      </w:r>
      <w:r>
        <w:rPr>
          <w:rFonts w:hint="eastAsia" w:ascii="Arial" w:hAnsi="Arial" w:eastAsia="宋体" w:cs="Arial"/>
          <w:kern w:val="0"/>
          <w:sz w:val="20"/>
          <w:szCs w:val="20"/>
          <w:lang w:val="en-GB" w:eastAsia="en-US"/>
        </w:rPr>
        <w:t>Report of 3GPP TSG RAN WG2 meeting #1</w:t>
      </w:r>
      <w:r>
        <w:rPr>
          <w:rFonts w:hint="eastAsia" w:ascii="Arial" w:hAnsi="Arial" w:eastAsia="宋体" w:cs="Arial"/>
          <w:kern w:val="0"/>
          <w:sz w:val="20"/>
          <w:szCs w:val="20"/>
          <w:lang w:val="en-US" w:eastAsia="zh-CN"/>
        </w:rPr>
        <w:t>20</w:t>
      </w:r>
    </w:p>
    <w:p>
      <w:pPr>
        <w:widowControl/>
        <w:numPr>
          <w:ilvl w:val="0"/>
          <w:numId w:val="6"/>
        </w:numPr>
        <w:overflowPunct w:val="0"/>
        <w:autoSpaceDE w:val="0"/>
        <w:autoSpaceDN w:val="0"/>
        <w:adjustRightInd w:val="0"/>
        <w:spacing w:after="180"/>
        <w:jc w:val="left"/>
        <w:textAlignment w:val="baseline"/>
        <w:rPr>
          <w:rFonts w:ascii="Arial" w:hAnsi="Arial" w:eastAsia="宋体" w:cs="Arial"/>
          <w:kern w:val="0"/>
          <w:sz w:val="20"/>
          <w:szCs w:val="20"/>
          <w:lang w:val="en-GB" w:eastAsia="en-US"/>
        </w:rPr>
      </w:pPr>
      <w:r>
        <w:rPr>
          <w:rFonts w:hint="eastAsia" w:ascii="Arial" w:hAnsi="Arial" w:eastAsia="宋体" w:cs="Arial"/>
          <w:kern w:val="0"/>
          <w:sz w:val="20"/>
          <w:szCs w:val="20"/>
          <w:lang w:val="en-US" w:eastAsia="zh-CN"/>
        </w:rPr>
        <w:t>TS 36.213 LTE; Evolved Universal Terrestrial Radio Access (E-UTRA); Physical layer procedures</w:t>
      </w:r>
    </w:p>
    <w:p>
      <w:pPr>
        <w:rPr>
          <w:lang w:val="en-GB"/>
        </w:rPr>
      </w:pPr>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400F36"/>
    <w:multiLevelType w:val="multilevel"/>
    <w:tmpl w:val="05400F3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
    <w:nsid w:val="11807F16"/>
    <w:multiLevelType w:val="multilevel"/>
    <w:tmpl w:val="11807F16"/>
    <w:lvl w:ilvl="0" w:tentative="0">
      <w:start w:val="1"/>
      <w:numFmt w:val="bullet"/>
      <w:lvlText w:val=""/>
      <w:lvlJc w:val="left"/>
      <w:pPr>
        <w:ind w:left="1219" w:hanging="420"/>
      </w:pPr>
      <w:rPr>
        <w:rFonts w:hint="default" w:ascii="Symbol" w:hAnsi="Symbol" w:eastAsia="MS Mincho" w:cs="Times New Roman"/>
      </w:rPr>
    </w:lvl>
    <w:lvl w:ilvl="1" w:tentative="0">
      <w:start w:val="1"/>
      <w:numFmt w:val="bullet"/>
      <w:lvlText w:val="o"/>
      <w:lvlJc w:val="left"/>
      <w:pPr>
        <w:ind w:left="1639" w:hanging="420"/>
      </w:pPr>
      <w:rPr>
        <w:rFonts w:hint="default" w:ascii="Courier New" w:hAnsi="Courier New" w:cs="Courier New"/>
      </w:rPr>
    </w:lvl>
    <w:lvl w:ilvl="2" w:tentative="0">
      <w:start w:val="0"/>
      <w:numFmt w:val="bullet"/>
      <w:lvlText w:val="-"/>
      <w:lvlJc w:val="left"/>
      <w:pPr>
        <w:ind w:left="2059" w:hanging="420"/>
      </w:pPr>
      <w:rPr>
        <w:rFonts w:hint="default" w:ascii="Times" w:hAnsi="Times" w:eastAsia="Batang" w:cs="Times"/>
      </w:rPr>
    </w:lvl>
    <w:lvl w:ilvl="3" w:tentative="0">
      <w:start w:val="1"/>
      <w:numFmt w:val="bullet"/>
      <w:lvlText w:val=""/>
      <w:lvlJc w:val="left"/>
      <w:pPr>
        <w:ind w:left="2479" w:hanging="420"/>
      </w:pPr>
      <w:rPr>
        <w:rFonts w:hint="default" w:ascii="Wingdings" w:hAnsi="Wingdings"/>
      </w:rPr>
    </w:lvl>
    <w:lvl w:ilvl="4" w:tentative="0">
      <w:start w:val="1"/>
      <w:numFmt w:val="bullet"/>
      <w:lvlText w:val=""/>
      <w:lvlJc w:val="left"/>
      <w:pPr>
        <w:ind w:left="2899" w:hanging="420"/>
      </w:pPr>
      <w:rPr>
        <w:rFonts w:hint="default" w:ascii="Wingdings" w:hAnsi="Wingdings"/>
      </w:rPr>
    </w:lvl>
    <w:lvl w:ilvl="5" w:tentative="0">
      <w:start w:val="1"/>
      <w:numFmt w:val="bullet"/>
      <w:lvlText w:val=""/>
      <w:lvlJc w:val="left"/>
      <w:pPr>
        <w:ind w:left="3319" w:hanging="420"/>
      </w:pPr>
      <w:rPr>
        <w:rFonts w:hint="default" w:ascii="Wingdings" w:hAnsi="Wingdings"/>
      </w:rPr>
    </w:lvl>
    <w:lvl w:ilvl="6" w:tentative="0">
      <w:start w:val="1"/>
      <w:numFmt w:val="bullet"/>
      <w:lvlText w:val=""/>
      <w:lvlJc w:val="left"/>
      <w:pPr>
        <w:ind w:left="3739" w:hanging="420"/>
      </w:pPr>
      <w:rPr>
        <w:rFonts w:hint="default" w:ascii="Wingdings" w:hAnsi="Wingdings"/>
      </w:rPr>
    </w:lvl>
    <w:lvl w:ilvl="7" w:tentative="0">
      <w:start w:val="1"/>
      <w:numFmt w:val="bullet"/>
      <w:lvlText w:val=""/>
      <w:lvlJc w:val="left"/>
      <w:pPr>
        <w:ind w:left="4159" w:hanging="420"/>
      </w:pPr>
      <w:rPr>
        <w:rFonts w:hint="default" w:ascii="Wingdings" w:hAnsi="Wingdings"/>
      </w:rPr>
    </w:lvl>
    <w:lvl w:ilvl="8" w:tentative="0">
      <w:start w:val="1"/>
      <w:numFmt w:val="bullet"/>
      <w:lvlText w:val=""/>
      <w:lvlJc w:val="left"/>
      <w:pPr>
        <w:ind w:left="4579" w:hanging="420"/>
      </w:pPr>
      <w:rPr>
        <w:rFonts w:hint="default" w:ascii="Wingdings" w:hAnsi="Wingdings"/>
      </w:rPr>
    </w:lvl>
  </w:abstractNum>
  <w:abstractNum w:abstractNumId="2">
    <w:nsid w:val="2DC22AFA"/>
    <w:multiLevelType w:val="multilevel"/>
    <w:tmpl w:val="2DC22AFA"/>
    <w:lvl w:ilvl="0" w:tentative="0">
      <w:start w:val="1"/>
      <w:numFmt w:val="bullet"/>
      <w:lvlText w:val=""/>
      <w:lvlJc w:val="left"/>
      <w:pPr>
        <w:ind w:left="840" w:hanging="420"/>
      </w:pPr>
      <w:rPr>
        <w:rFonts w:hint="default" w:ascii="Wingdings" w:hAnsi="Wingdings"/>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3">
    <w:nsid w:val="2DCAA566"/>
    <w:multiLevelType w:val="singleLevel"/>
    <w:tmpl w:val="2DCAA566"/>
    <w:lvl w:ilvl="0" w:tentative="0">
      <w:start w:val="2"/>
      <w:numFmt w:val="decimal"/>
      <w:lvlText w:val="%1"/>
      <w:lvlJc w:val="left"/>
    </w:lvl>
  </w:abstractNum>
  <w:abstractNum w:abstractNumId="4">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5">
    <w:nsid w:val="637247E8"/>
    <w:multiLevelType w:val="multilevel"/>
    <w:tmpl w:val="637247E8"/>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5A3"/>
    <w:rsid w:val="00016606"/>
    <w:rsid w:val="000172B0"/>
    <w:rsid w:val="00044F6A"/>
    <w:rsid w:val="00047DFF"/>
    <w:rsid w:val="00065420"/>
    <w:rsid w:val="00077D54"/>
    <w:rsid w:val="000A4474"/>
    <w:rsid w:val="000C2C09"/>
    <w:rsid w:val="000D5C94"/>
    <w:rsid w:val="000E0483"/>
    <w:rsid w:val="000F0EDC"/>
    <w:rsid w:val="000F3D5A"/>
    <w:rsid w:val="0015147A"/>
    <w:rsid w:val="00196A53"/>
    <w:rsid w:val="001B2D58"/>
    <w:rsid w:val="001E2496"/>
    <w:rsid w:val="001F7978"/>
    <w:rsid w:val="002215C2"/>
    <w:rsid w:val="00225D63"/>
    <w:rsid w:val="00234354"/>
    <w:rsid w:val="002650A3"/>
    <w:rsid w:val="00291597"/>
    <w:rsid w:val="002B475C"/>
    <w:rsid w:val="002C2C8E"/>
    <w:rsid w:val="002C3E35"/>
    <w:rsid w:val="002D7AFA"/>
    <w:rsid w:val="003043A7"/>
    <w:rsid w:val="00322F59"/>
    <w:rsid w:val="00327D25"/>
    <w:rsid w:val="00380288"/>
    <w:rsid w:val="00382AE9"/>
    <w:rsid w:val="00393089"/>
    <w:rsid w:val="003C34FD"/>
    <w:rsid w:val="003C3A3A"/>
    <w:rsid w:val="003D5478"/>
    <w:rsid w:val="00423B04"/>
    <w:rsid w:val="004628AE"/>
    <w:rsid w:val="004659EF"/>
    <w:rsid w:val="00480B0B"/>
    <w:rsid w:val="004B509A"/>
    <w:rsid w:val="004E4DAD"/>
    <w:rsid w:val="005075A3"/>
    <w:rsid w:val="00523942"/>
    <w:rsid w:val="00525BBB"/>
    <w:rsid w:val="005C3989"/>
    <w:rsid w:val="005E7E07"/>
    <w:rsid w:val="006100C7"/>
    <w:rsid w:val="00610B28"/>
    <w:rsid w:val="006743B8"/>
    <w:rsid w:val="00680623"/>
    <w:rsid w:val="006A4FB5"/>
    <w:rsid w:val="006B0BFB"/>
    <w:rsid w:val="006D1DA8"/>
    <w:rsid w:val="0074611C"/>
    <w:rsid w:val="007A2ADF"/>
    <w:rsid w:val="007B28E6"/>
    <w:rsid w:val="007E3904"/>
    <w:rsid w:val="00843904"/>
    <w:rsid w:val="00894A29"/>
    <w:rsid w:val="008A5A0B"/>
    <w:rsid w:val="008D110D"/>
    <w:rsid w:val="008E4F97"/>
    <w:rsid w:val="00940BA3"/>
    <w:rsid w:val="00950D36"/>
    <w:rsid w:val="00956A27"/>
    <w:rsid w:val="00982B04"/>
    <w:rsid w:val="009924F0"/>
    <w:rsid w:val="009A6751"/>
    <w:rsid w:val="009D3F27"/>
    <w:rsid w:val="009E36A7"/>
    <w:rsid w:val="009E6BC9"/>
    <w:rsid w:val="00A350C4"/>
    <w:rsid w:val="00AC3458"/>
    <w:rsid w:val="00AD67D5"/>
    <w:rsid w:val="00AD727F"/>
    <w:rsid w:val="00B24F10"/>
    <w:rsid w:val="00B73C33"/>
    <w:rsid w:val="00B846FB"/>
    <w:rsid w:val="00B84BEF"/>
    <w:rsid w:val="00BB6E56"/>
    <w:rsid w:val="00C03FFA"/>
    <w:rsid w:val="00C12245"/>
    <w:rsid w:val="00C31C25"/>
    <w:rsid w:val="00C53226"/>
    <w:rsid w:val="00C95F8C"/>
    <w:rsid w:val="00CD18ED"/>
    <w:rsid w:val="00CF2DAA"/>
    <w:rsid w:val="00D66BFB"/>
    <w:rsid w:val="00D9059D"/>
    <w:rsid w:val="00DA12B1"/>
    <w:rsid w:val="00DA6656"/>
    <w:rsid w:val="00DE5620"/>
    <w:rsid w:val="00E513DD"/>
    <w:rsid w:val="00E82408"/>
    <w:rsid w:val="00ED765C"/>
    <w:rsid w:val="00EF5EE1"/>
    <w:rsid w:val="00F02DFE"/>
    <w:rsid w:val="00F05AB0"/>
    <w:rsid w:val="00F0760F"/>
    <w:rsid w:val="00F33D13"/>
    <w:rsid w:val="00F47D8B"/>
    <w:rsid w:val="00F627D0"/>
    <w:rsid w:val="00F841B6"/>
    <w:rsid w:val="00F92EA1"/>
    <w:rsid w:val="01041DE1"/>
    <w:rsid w:val="02C51341"/>
    <w:rsid w:val="038A1F16"/>
    <w:rsid w:val="04406F16"/>
    <w:rsid w:val="04A37BF0"/>
    <w:rsid w:val="060D08B4"/>
    <w:rsid w:val="094470AB"/>
    <w:rsid w:val="09AD4CAA"/>
    <w:rsid w:val="0A1469F1"/>
    <w:rsid w:val="0A173D8A"/>
    <w:rsid w:val="0B7552D3"/>
    <w:rsid w:val="0CC05689"/>
    <w:rsid w:val="0CD5224C"/>
    <w:rsid w:val="0D771EA7"/>
    <w:rsid w:val="0EE436A5"/>
    <w:rsid w:val="0F071C89"/>
    <w:rsid w:val="0F220B5F"/>
    <w:rsid w:val="104F2F73"/>
    <w:rsid w:val="110171B2"/>
    <w:rsid w:val="11F10CFD"/>
    <w:rsid w:val="123900DB"/>
    <w:rsid w:val="124311BD"/>
    <w:rsid w:val="124A1975"/>
    <w:rsid w:val="13392934"/>
    <w:rsid w:val="13D05981"/>
    <w:rsid w:val="13F13831"/>
    <w:rsid w:val="14E836E8"/>
    <w:rsid w:val="14FF75D3"/>
    <w:rsid w:val="155F5A4B"/>
    <w:rsid w:val="15BE553B"/>
    <w:rsid w:val="161147C5"/>
    <w:rsid w:val="16A3322F"/>
    <w:rsid w:val="17250459"/>
    <w:rsid w:val="174F4418"/>
    <w:rsid w:val="17CD5A7B"/>
    <w:rsid w:val="187A66B9"/>
    <w:rsid w:val="19935127"/>
    <w:rsid w:val="19CB2687"/>
    <w:rsid w:val="1ACB37C1"/>
    <w:rsid w:val="1B7D2F59"/>
    <w:rsid w:val="1DE55E1B"/>
    <w:rsid w:val="1EB6286D"/>
    <w:rsid w:val="20F63843"/>
    <w:rsid w:val="21012678"/>
    <w:rsid w:val="216646D4"/>
    <w:rsid w:val="22B32E1B"/>
    <w:rsid w:val="23944C77"/>
    <w:rsid w:val="249D5D77"/>
    <w:rsid w:val="254D3519"/>
    <w:rsid w:val="255B7B59"/>
    <w:rsid w:val="27B70C8E"/>
    <w:rsid w:val="27E13FF4"/>
    <w:rsid w:val="28471CEA"/>
    <w:rsid w:val="28A83036"/>
    <w:rsid w:val="28E76E28"/>
    <w:rsid w:val="29BF17B7"/>
    <w:rsid w:val="2A413B9B"/>
    <w:rsid w:val="2B0514F7"/>
    <w:rsid w:val="2B1A7B79"/>
    <w:rsid w:val="2B4D1216"/>
    <w:rsid w:val="2C095760"/>
    <w:rsid w:val="2C4606A6"/>
    <w:rsid w:val="2C7D265B"/>
    <w:rsid w:val="2D844A12"/>
    <w:rsid w:val="2E5B62FC"/>
    <w:rsid w:val="2FC93A6E"/>
    <w:rsid w:val="30B60AE3"/>
    <w:rsid w:val="30C4636F"/>
    <w:rsid w:val="31341CC3"/>
    <w:rsid w:val="36B15D02"/>
    <w:rsid w:val="36F84B57"/>
    <w:rsid w:val="385B5BDA"/>
    <w:rsid w:val="38FC32F5"/>
    <w:rsid w:val="39030A9D"/>
    <w:rsid w:val="3CA66A58"/>
    <w:rsid w:val="3D5B3EF0"/>
    <w:rsid w:val="3DAC4E92"/>
    <w:rsid w:val="3DE74947"/>
    <w:rsid w:val="3ECD0998"/>
    <w:rsid w:val="3ED508CA"/>
    <w:rsid w:val="3FA42170"/>
    <w:rsid w:val="3FAF36DB"/>
    <w:rsid w:val="40645361"/>
    <w:rsid w:val="406A14B3"/>
    <w:rsid w:val="41855840"/>
    <w:rsid w:val="43146FF6"/>
    <w:rsid w:val="433204F8"/>
    <w:rsid w:val="44F46625"/>
    <w:rsid w:val="4599227F"/>
    <w:rsid w:val="45E26558"/>
    <w:rsid w:val="45EA2721"/>
    <w:rsid w:val="46770DD0"/>
    <w:rsid w:val="46FE4C6E"/>
    <w:rsid w:val="472C72C1"/>
    <w:rsid w:val="47C04462"/>
    <w:rsid w:val="47D84F8A"/>
    <w:rsid w:val="47DB6ABB"/>
    <w:rsid w:val="49A97E85"/>
    <w:rsid w:val="4AC6206F"/>
    <w:rsid w:val="4C3F10FC"/>
    <w:rsid w:val="4C79760A"/>
    <w:rsid w:val="4D746926"/>
    <w:rsid w:val="4D776224"/>
    <w:rsid w:val="4DB0556E"/>
    <w:rsid w:val="4E9E13D8"/>
    <w:rsid w:val="4EF5192E"/>
    <w:rsid w:val="4F9F5231"/>
    <w:rsid w:val="5135665F"/>
    <w:rsid w:val="514A5666"/>
    <w:rsid w:val="51CC648B"/>
    <w:rsid w:val="528B1069"/>
    <w:rsid w:val="53D170F4"/>
    <w:rsid w:val="562D405C"/>
    <w:rsid w:val="56581D59"/>
    <w:rsid w:val="57057A28"/>
    <w:rsid w:val="57136566"/>
    <w:rsid w:val="57203CEA"/>
    <w:rsid w:val="58012BF4"/>
    <w:rsid w:val="58AB4E89"/>
    <w:rsid w:val="5A2F5AF5"/>
    <w:rsid w:val="5AFF7905"/>
    <w:rsid w:val="5B492C91"/>
    <w:rsid w:val="5B7762E7"/>
    <w:rsid w:val="5D052C1F"/>
    <w:rsid w:val="5F2F6349"/>
    <w:rsid w:val="5F600D4E"/>
    <w:rsid w:val="60D14125"/>
    <w:rsid w:val="64C14E5C"/>
    <w:rsid w:val="652E7A0E"/>
    <w:rsid w:val="660E4242"/>
    <w:rsid w:val="677038E2"/>
    <w:rsid w:val="68D5400D"/>
    <w:rsid w:val="691D3648"/>
    <w:rsid w:val="69293200"/>
    <w:rsid w:val="694347AF"/>
    <w:rsid w:val="694F06EB"/>
    <w:rsid w:val="6A091242"/>
    <w:rsid w:val="6BE35659"/>
    <w:rsid w:val="6BFE2EC1"/>
    <w:rsid w:val="6E083615"/>
    <w:rsid w:val="6E6F0BB4"/>
    <w:rsid w:val="6E9E6753"/>
    <w:rsid w:val="6F245D1C"/>
    <w:rsid w:val="6FC268FF"/>
    <w:rsid w:val="71A42B10"/>
    <w:rsid w:val="732872C5"/>
    <w:rsid w:val="736577F1"/>
    <w:rsid w:val="741B0715"/>
    <w:rsid w:val="75A11A2A"/>
    <w:rsid w:val="76606718"/>
    <w:rsid w:val="76882F1E"/>
    <w:rsid w:val="7735668B"/>
    <w:rsid w:val="78317FBD"/>
    <w:rsid w:val="79C61A14"/>
    <w:rsid w:val="7A053543"/>
    <w:rsid w:val="7C4E5B9F"/>
    <w:rsid w:val="7E1C1F3D"/>
    <w:rsid w:val="7E886BD8"/>
    <w:rsid w:val="7EA42950"/>
    <w:rsid w:val="7F1C368D"/>
    <w:rsid w:val="7F7A668F"/>
    <w:rsid w:val="7FDF279F"/>
    <w:rsid w:val="7FF108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20"/>
    <w:semiHidden/>
    <w:unhideWhenUsed/>
    <w:qFormat/>
    <w:uiPriority w:val="99"/>
    <w:rPr>
      <w:rFonts w:ascii="宋体" w:eastAsia="宋体"/>
      <w:sz w:val="18"/>
      <w:szCs w:val="18"/>
    </w:rPr>
  </w:style>
  <w:style w:type="paragraph" w:styleId="3">
    <w:name w:val="Body Text"/>
    <w:basedOn w:val="1"/>
    <w:unhideWhenUsed/>
    <w:qFormat/>
    <w:uiPriority w:val="99"/>
  </w:style>
  <w:style w:type="paragraph" w:styleId="4">
    <w:name w:val="Balloon Text"/>
    <w:basedOn w:val="1"/>
    <w:link w:val="21"/>
    <w:semiHidden/>
    <w:unhideWhenUsed/>
    <w:qFormat/>
    <w:uiPriority w:val="99"/>
    <w:rPr>
      <w:sz w:val="18"/>
      <w:szCs w:val="18"/>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w:basedOn w:val="1"/>
    <w:qFormat/>
    <w:uiPriority w:val="0"/>
    <w:pPr>
      <w:ind w:left="568" w:hanging="284"/>
    </w:pPr>
  </w:style>
  <w:style w:type="table" w:styleId="9">
    <w:name w:val="Table Grid"/>
    <w:basedOn w:val="8"/>
    <w:qFormat/>
    <w:uiPriority w:val="0"/>
    <w:rPr>
      <w:rFonts w:ascii="Times New Roman" w:hAnsi="Times New Roman" w:eastAsia="宋体" w:cs="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Hyperlink"/>
    <w:qFormat/>
    <w:uiPriority w:val="99"/>
    <w:rPr>
      <w:color w:val="0000FF"/>
      <w:u w:val="single"/>
    </w:rPr>
  </w:style>
  <w:style w:type="character" w:customStyle="1" w:styleId="12">
    <w:name w:val="页眉 Char"/>
    <w:basedOn w:val="10"/>
    <w:link w:val="6"/>
    <w:qFormat/>
    <w:uiPriority w:val="99"/>
    <w:rPr>
      <w:sz w:val="18"/>
      <w:szCs w:val="18"/>
    </w:rPr>
  </w:style>
  <w:style w:type="character" w:customStyle="1" w:styleId="13">
    <w:name w:val="页脚 Char"/>
    <w:basedOn w:val="10"/>
    <w:link w:val="5"/>
    <w:qFormat/>
    <w:uiPriority w:val="99"/>
    <w:rPr>
      <w:sz w:val="18"/>
      <w:szCs w:val="18"/>
    </w:rPr>
  </w:style>
  <w:style w:type="paragraph" w:customStyle="1" w:styleId="14">
    <w:name w:val="TH"/>
    <w:basedOn w:val="1"/>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15">
    <w:name w:val="TF"/>
    <w:basedOn w:val="14"/>
    <w:qFormat/>
    <w:uiPriority w:val="0"/>
    <w:pPr>
      <w:keepNext w:val="0"/>
      <w:spacing w:before="0" w:after="240"/>
    </w:pPr>
  </w:style>
  <w:style w:type="paragraph" w:styleId="16">
    <w:name w:val="List Paragraph"/>
    <w:basedOn w:val="1"/>
    <w:qFormat/>
    <w:uiPriority w:val="34"/>
    <w:pPr>
      <w:ind w:firstLine="420" w:firstLineChars="200"/>
    </w:pPr>
  </w:style>
  <w:style w:type="paragraph" w:customStyle="1" w:styleId="17">
    <w:name w:val="B1"/>
    <w:basedOn w:val="7"/>
    <w:qFormat/>
    <w:uiPriority w:val="0"/>
  </w:style>
  <w:style w:type="paragraph" w:customStyle="1" w:styleId="18">
    <w:name w:val="Doc-text2"/>
    <w:basedOn w:val="1"/>
    <w:qFormat/>
    <w:uiPriority w:val="0"/>
    <w:pPr>
      <w:tabs>
        <w:tab w:val="left" w:pos="1622"/>
      </w:tabs>
      <w:ind w:left="1622" w:hanging="363"/>
      <w:jc w:val="left"/>
    </w:pPr>
    <w:rPr>
      <w:rFonts w:eastAsia="MS Mincho"/>
      <w:szCs w:val="24"/>
    </w:rPr>
  </w:style>
  <w:style w:type="paragraph" w:customStyle="1" w:styleId="19">
    <w:name w:val="Proposal"/>
    <w:basedOn w:val="16"/>
    <w:qFormat/>
    <w:uiPriority w:val="0"/>
    <w:pPr>
      <w:tabs>
        <w:tab w:val="left" w:pos="1701"/>
      </w:tabs>
    </w:pPr>
    <w:rPr>
      <w:rFonts w:ascii="Arial" w:hAnsi="Arial" w:eastAsia="等线"/>
      <w:b/>
      <w:bCs/>
      <w:sz w:val="20"/>
    </w:rPr>
  </w:style>
  <w:style w:type="character" w:customStyle="1" w:styleId="20">
    <w:name w:val="文档结构图 Char"/>
    <w:basedOn w:val="10"/>
    <w:link w:val="2"/>
    <w:semiHidden/>
    <w:qFormat/>
    <w:uiPriority w:val="99"/>
    <w:rPr>
      <w:rFonts w:ascii="宋体" w:eastAsia="宋体"/>
      <w:kern w:val="2"/>
      <w:sz w:val="18"/>
      <w:szCs w:val="18"/>
    </w:rPr>
  </w:style>
  <w:style w:type="character" w:customStyle="1" w:styleId="21">
    <w:name w:val="批注框文本 Char"/>
    <w:basedOn w:val="10"/>
    <w:link w:val="4"/>
    <w:semiHidden/>
    <w:qFormat/>
    <w:uiPriority w:val="99"/>
    <w:rPr>
      <w:kern w:val="2"/>
      <w:sz w:val="18"/>
      <w:szCs w:val="18"/>
    </w:rPr>
  </w:style>
  <w:style w:type="paragraph" w:customStyle="1" w:styleId="22">
    <w:name w:val="TAL"/>
    <w:basedOn w:val="1"/>
    <w:qFormat/>
    <w:uiPriority w:val="0"/>
    <w:pPr>
      <w:keepNext/>
      <w:keepLines/>
      <w:spacing w:after="0"/>
    </w:pPr>
    <w:rPr>
      <w:rFonts w:ascii="Arial" w:hAnsi="Arial"/>
      <w:sz w:val="18"/>
    </w:rPr>
  </w:style>
  <w:style w:type="paragraph" w:customStyle="1" w:styleId="23">
    <w:name w:val="x_msonormal"/>
    <w:basedOn w:val="1"/>
    <w:qFormat/>
    <w:uiPriority w:val="0"/>
    <w:pPr>
      <w:overflowPunct/>
      <w:autoSpaceDE/>
      <w:autoSpaceDN/>
      <w:adjustRightInd/>
      <w:spacing w:after="0"/>
      <w:jc w:val="left"/>
      <w:textAlignment w:val="auto"/>
    </w:pPr>
    <w:rPr>
      <w:rFonts w:ascii="Calibri" w:hAnsi="Calibri" w:eastAsia="Calibri" w:cs="Calibri"/>
      <w:sz w:val="22"/>
      <w:szCs w:val="22"/>
      <w:lang w:val="en-US"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960</Words>
  <Characters>5472</Characters>
  <Lines>45</Lines>
  <Paragraphs>12</Paragraphs>
  <TotalTime>0</TotalTime>
  <ScaleCrop>false</ScaleCrop>
  <LinksUpToDate>false</LinksUpToDate>
  <CharactersWithSpaces>6420</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2022-09-30T07:56:00Z</dcterms:created>
  <dc:creator>CMCC_TJY</dc:creator>
  <cp:lastModifiedBy>CMCC</cp:lastModifiedBy>
  <dcterms:modified xsi:type="dcterms:W3CDTF">2023-02-17T06:55:28Z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AB80D2CD6B8743F7823C1EA311B8C28B</vt:lpwstr>
  </property>
</Properties>
</file>